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BB1157" w14:paraId="735E6DFE" w14:textId="77777777" w:rsidTr="007E1D85">
        <w:tc>
          <w:tcPr>
            <w:tcW w:w="5211" w:type="dxa"/>
            <w:hideMark/>
          </w:tcPr>
          <w:p w14:paraId="6BFA3FF7" w14:textId="77777777" w:rsidR="007E1D85" w:rsidRPr="00874CBE" w:rsidRDefault="007E1D85" w:rsidP="00C566D6">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7A74CBF5" w14:textId="77777777" w:rsidR="00523D82" w:rsidRPr="00F340D0" w:rsidRDefault="00297CEA" w:rsidP="00C566D6">
            <w:pPr>
              <w:widowControl w:val="0"/>
              <w:spacing w:after="0" w:line="240" w:lineRule="auto"/>
              <w:rPr>
                <w:rFonts w:ascii="Times New Roman" w:eastAsia="Times New Roman" w:hAnsi="Times New Roman"/>
                <w:snapToGrid w:val="0"/>
                <w:sz w:val="28"/>
                <w:szCs w:val="28"/>
                <w:lang w:eastAsia="ru-RU"/>
              </w:rPr>
            </w:pPr>
            <w:r w:rsidRPr="00F340D0">
              <w:rPr>
                <w:rFonts w:ascii="Times New Roman" w:eastAsia="Times New Roman" w:hAnsi="Times New Roman"/>
                <w:snapToGrid w:val="0"/>
                <w:sz w:val="28"/>
                <w:szCs w:val="28"/>
                <w:lang w:val="kk" w:eastAsia="ru-RU"/>
              </w:rPr>
              <w:t xml:space="preserve">«Қазақстан Республикасы  </w:t>
            </w:r>
          </w:p>
          <w:p w14:paraId="6DC15F20" w14:textId="77777777" w:rsidR="00653617" w:rsidRPr="00727D0D" w:rsidRDefault="00297CEA" w:rsidP="00575348">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val="kk" w:eastAsia="ru-RU"/>
              </w:rPr>
              <w:t xml:space="preserve">Денсаулық сақтау министрлігі   </w:t>
            </w:r>
          </w:p>
          <w:p w14:paraId="2E6B48D6" w14:textId="77777777" w:rsidR="00523D82" w:rsidRPr="00727D0D" w:rsidRDefault="00297CEA" w:rsidP="00B608C1">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val="kk" w:eastAsia="ru-RU"/>
              </w:rPr>
              <w:t>Медициналық және фармацевтикалық</w:t>
            </w:r>
          </w:p>
          <w:p w14:paraId="64D5F71B" w14:textId="77777777" w:rsidR="00523D82" w:rsidRPr="00F340D0" w:rsidRDefault="00297CEA" w:rsidP="00F340D0">
            <w:pPr>
              <w:keepNext/>
              <w:autoSpaceDE w:val="0"/>
              <w:autoSpaceDN w:val="0"/>
              <w:spacing w:after="0" w:line="240" w:lineRule="auto"/>
              <w:outlineLvl w:val="2"/>
              <w:rPr>
                <w:rFonts w:ascii="Times New Roman" w:eastAsia="Times New Roman" w:hAnsi="Times New Roman"/>
                <w:bCs/>
                <w:sz w:val="28"/>
                <w:szCs w:val="28"/>
                <w:lang w:val="uk-UA" w:eastAsia="ru-RU"/>
              </w:rPr>
            </w:pPr>
            <w:r w:rsidRPr="00727D0D">
              <w:rPr>
                <w:rFonts w:ascii="Times New Roman" w:eastAsia="Times New Roman" w:hAnsi="Times New Roman"/>
                <w:bCs/>
                <w:sz w:val="28"/>
                <w:szCs w:val="28"/>
                <w:lang w:val="kk" w:eastAsia="ru-RU"/>
              </w:rPr>
              <w:t xml:space="preserve">бақылау комитеті» РММ төрағасының  </w:t>
            </w:r>
          </w:p>
          <w:p w14:paraId="7F75BDF1" w14:textId="1B99ECB8" w:rsidR="00523D82" w:rsidRPr="00727D0D" w:rsidRDefault="00297CEA" w:rsidP="00C566D6">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val="kk" w:eastAsia="ru-RU"/>
              </w:rPr>
              <w:t>20</w:t>
            </w:r>
            <w:r w:rsidR="00A3603E">
              <w:rPr>
                <w:rFonts w:ascii="Times New Roman" w:eastAsia="Times New Roman" w:hAnsi="Times New Roman"/>
                <w:sz w:val="28"/>
                <w:szCs w:val="28"/>
                <w:lang w:val="en-US" w:eastAsia="ru-RU"/>
              </w:rPr>
              <w:t xml:space="preserve">25 </w:t>
            </w:r>
            <w:r w:rsidRPr="00727D0D">
              <w:rPr>
                <w:rFonts w:ascii="Times New Roman" w:eastAsia="Times New Roman" w:hAnsi="Times New Roman"/>
                <w:sz w:val="28"/>
                <w:szCs w:val="28"/>
                <w:lang w:val="kk" w:eastAsia="ru-RU"/>
              </w:rPr>
              <w:t>ж. «</w:t>
            </w:r>
            <w:r w:rsidR="00A3603E">
              <w:rPr>
                <w:rFonts w:ascii="Times New Roman" w:eastAsia="Times New Roman" w:hAnsi="Times New Roman"/>
                <w:sz w:val="28"/>
                <w:szCs w:val="28"/>
                <w:lang w:val="en-US" w:eastAsia="ru-RU"/>
              </w:rPr>
              <w:t>17</w:t>
            </w:r>
            <w:r w:rsidRPr="00727D0D">
              <w:rPr>
                <w:rFonts w:ascii="Times New Roman" w:eastAsia="Times New Roman" w:hAnsi="Times New Roman"/>
                <w:sz w:val="28"/>
                <w:szCs w:val="28"/>
                <w:lang w:val="kk" w:eastAsia="ru-RU"/>
              </w:rPr>
              <w:t xml:space="preserve">» </w:t>
            </w:r>
            <w:r w:rsidR="00A3603E">
              <w:rPr>
                <w:rFonts w:ascii="Times New Roman" w:eastAsia="Times New Roman" w:hAnsi="Times New Roman"/>
                <w:sz w:val="28"/>
                <w:szCs w:val="28"/>
                <w:lang w:val="en-US" w:eastAsia="ru-RU"/>
              </w:rPr>
              <w:t>10</w:t>
            </w:r>
            <w:r w:rsidRPr="00727D0D">
              <w:rPr>
                <w:rFonts w:ascii="Times New Roman" w:eastAsia="Times New Roman" w:hAnsi="Times New Roman"/>
                <w:sz w:val="28"/>
                <w:szCs w:val="28"/>
                <w:lang w:val="kk" w:eastAsia="ru-RU"/>
              </w:rPr>
              <w:t xml:space="preserve">  </w:t>
            </w:r>
          </w:p>
          <w:p w14:paraId="6304BF69" w14:textId="55E6E844" w:rsidR="00523D82" w:rsidRPr="00727D0D" w:rsidRDefault="00297CEA" w:rsidP="00652BCE">
            <w:pPr>
              <w:widowControl w:val="0"/>
              <w:spacing w:after="0" w:line="240" w:lineRule="auto"/>
              <w:rPr>
                <w:rFonts w:ascii="Times New Roman" w:eastAsia="Batang" w:hAnsi="Times New Roman"/>
                <w:snapToGrid w:val="0"/>
                <w:sz w:val="28"/>
                <w:szCs w:val="28"/>
                <w:lang w:eastAsia="ru-RU"/>
              </w:rPr>
            </w:pPr>
            <w:r w:rsidRPr="00727D0D">
              <w:rPr>
                <w:rFonts w:ascii="Times New Roman" w:eastAsia="Times New Roman" w:hAnsi="Times New Roman"/>
                <w:snapToGrid w:val="0"/>
                <w:sz w:val="28"/>
                <w:szCs w:val="28"/>
                <w:lang w:val="kk" w:eastAsia="ru-RU"/>
              </w:rPr>
              <w:t>№</w:t>
            </w:r>
            <w:r w:rsidR="00A3603E">
              <w:rPr>
                <w:rFonts w:ascii="Times New Roman" w:eastAsia="Times New Roman" w:hAnsi="Times New Roman"/>
                <w:snapToGrid w:val="0"/>
                <w:sz w:val="28"/>
                <w:szCs w:val="28"/>
                <w:lang w:val="en-US" w:eastAsia="ru-RU"/>
              </w:rPr>
              <w:t>N089492</w:t>
            </w:r>
            <w:r w:rsidRPr="00727D0D">
              <w:rPr>
                <w:rFonts w:ascii="Times New Roman" w:eastAsia="Times New Roman" w:hAnsi="Times New Roman"/>
                <w:snapToGrid w:val="0"/>
                <w:sz w:val="28"/>
                <w:szCs w:val="28"/>
                <w:lang w:val="kk" w:eastAsia="ru-RU"/>
              </w:rPr>
              <w:t xml:space="preserve"> бұйрығымен </w:t>
            </w:r>
            <w:r w:rsidRPr="00F340D0">
              <w:rPr>
                <w:rFonts w:ascii="Times New Roman" w:eastAsia="Times New Roman" w:hAnsi="Times New Roman"/>
                <w:b/>
                <w:snapToGrid w:val="0"/>
                <w:sz w:val="28"/>
                <w:szCs w:val="28"/>
                <w:lang w:val="kk" w:eastAsia="ru-RU"/>
              </w:rPr>
              <w:t>БЕКІТІЛГЕН</w:t>
            </w:r>
          </w:p>
        </w:tc>
        <w:tc>
          <w:tcPr>
            <w:tcW w:w="4536" w:type="dxa"/>
          </w:tcPr>
          <w:p w14:paraId="482FF889" w14:textId="77777777" w:rsidR="00523D82" w:rsidRPr="00727D0D" w:rsidRDefault="00297CEA" w:rsidP="00C566D6">
            <w:pPr>
              <w:widowControl w:val="0"/>
              <w:spacing w:after="0" w:line="240" w:lineRule="auto"/>
              <w:jc w:val="center"/>
              <w:rPr>
                <w:rFonts w:ascii="Times New Roman" w:eastAsia="Times New Roman" w:hAnsi="Times New Roman"/>
                <w:b/>
                <w:snapToGrid w:val="0"/>
                <w:sz w:val="28"/>
                <w:szCs w:val="28"/>
                <w:lang w:eastAsia="ru-RU"/>
              </w:rPr>
            </w:pPr>
            <w:r w:rsidRPr="00727D0D">
              <w:rPr>
                <w:rFonts w:ascii="Times New Roman" w:eastAsia="Times New Roman" w:hAnsi="Times New Roman"/>
                <w:b/>
                <w:snapToGrid w:val="0"/>
                <w:sz w:val="28"/>
                <w:szCs w:val="28"/>
                <w:lang w:eastAsia="ru-RU"/>
              </w:rPr>
              <w:t xml:space="preserve"> </w:t>
            </w:r>
          </w:p>
        </w:tc>
      </w:tr>
      <w:tr w:rsidR="00BB1157" w14:paraId="2D8C1762" w14:textId="77777777" w:rsidTr="003662F1">
        <w:trPr>
          <w:trHeight w:val="80"/>
        </w:trPr>
        <w:tc>
          <w:tcPr>
            <w:tcW w:w="14283" w:type="dxa"/>
            <w:gridSpan w:val="3"/>
          </w:tcPr>
          <w:p w14:paraId="08AE9B65" w14:textId="77777777" w:rsidR="003662F1" w:rsidRPr="00727D0D" w:rsidRDefault="003662F1" w:rsidP="00736B6C">
            <w:pPr>
              <w:widowControl w:val="0"/>
              <w:spacing w:after="0" w:line="240" w:lineRule="auto"/>
              <w:rPr>
                <w:rFonts w:ascii="Times New Roman" w:eastAsia="Batang" w:hAnsi="Times New Roman"/>
                <w:sz w:val="28"/>
                <w:szCs w:val="28"/>
                <w:lang w:eastAsia="ru-RU"/>
              </w:rPr>
            </w:pPr>
          </w:p>
        </w:tc>
      </w:tr>
    </w:tbl>
    <w:p w14:paraId="7269CC16" w14:textId="77777777" w:rsidR="00D76048" w:rsidRPr="00727D0D" w:rsidRDefault="00297CEA" w:rsidP="00C566D6">
      <w:pPr>
        <w:autoSpaceDE w:val="0"/>
        <w:autoSpaceDN w:val="0"/>
        <w:spacing w:after="0" w:line="240" w:lineRule="auto"/>
        <w:jc w:val="center"/>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Дәрілік препаратты медициналық</w:t>
      </w:r>
    </w:p>
    <w:p w14:paraId="5FC75EC0" w14:textId="77777777" w:rsidR="00D76048" w:rsidRPr="00727D0D" w:rsidRDefault="00297CEA" w:rsidP="00C566D6">
      <w:pPr>
        <w:autoSpaceDE w:val="0"/>
        <w:autoSpaceDN w:val="0"/>
        <w:spacing w:after="0" w:line="240" w:lineRule="auto"/>
        <w:jc w:val="center"/>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қолдану жөніндегі нұсқаулық (Қосымша парақ)</w:t>
      </w:r>
    </w:p>
    <w:p w14:paraId="7E8AE834" w14:textId="77777777" w:rsidR="002C76D7" w:rsidRPr="00727D0D"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31FB07C8" w14:textId="77777777" w:rsidR="002C76D7" w:rsidRPr="00727D0D" w:rsidRDefault="00297CEA" w:rsidP="00844CE8">
      <w:pPr>
        <w:autoSpaceDE w:val="0"/>
        <w:autoSpaceDN w:val="0"/>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 xml:space="preserve">Саудалық атауы </w:t>
      </w:r>
    </w:p>
    <w:p w14:paraId="066644EC" w14:textId="77777777" w:rsidR="00892CB3" w:rsidRDefault="00297CEA" w:rsidP="00844CE8">
      <w:pPr>
        <w:autoSpaceDE w:val="0"/>
        <w:autoSpaceDN w:val="0"/>
        <w:spacing w:after="0" w:line="240" w:lineRule="auto"/>
        <w:jc w:val="both"/>
        <w:rPr>
          <w:rFonts w:ascii="Times New Roman" w:eastAsia="Times New Roman" w:hAnsi="Times New Roman"/>
          <w:bCs/>
          <w:sz w:val="28"/>
          <w:szCs w:val="28"/>
          <w:lang w:eastAsia="ru-RU"/>
        </w:rPr>
      </w:pPr>
      <w:r w:rsidRPr="009A3206">
        <w:rPr>
          <w:rFonts w:ascii="Times New Roman" w:eastAsia="Times New Roman" w:hAnsi="Times New Roman"/>
          <w:bCs/>
          <w:sz w:val="28"/>
          <w:szCs w:val="28"/>
          <w:lang w:val="kk" w:eastAsia="ru-RU"/>
        </w:rPr>
        <w:t>Иринотекан</w:t>
      </w:r>
    </w:p>
    <w:p w14:paraId="1C6ECD3B" w14:textId="77777777" w:rsidR="009A3206" w:rsidRPr="00727D0D" w:rsidRDefault="009A3206" w:rsidP="00844CE8">
      <w:pPr>
        <w:autoSpaceDE w:val="0"/>
        <w:autoSpaceDN w:val="0"/>
        <w:spacing w:after="0" w:line="240" w:lineRule="auto"/>
        <w:jc w:val="both"/>
        <w:rPr>
          <w:rFonts w:ascii="Times New Roman" w:eastAsia="Times New Roman" w:hAnsi="Times New Roman"/>
          <w:bCs/>
          <w:sz w:val="28"/>
          <w:szCs w:val="28"/>
          <w:lang w:eastAsia="ru-RU"/>
        </w:rPr>
      </w:pPr>
    </w:p>
    <w:p w14:paraId="61C40C73" w14:textId="77777777" w:rsidR="002C76D7" w:rsidRPr="00727D0D" w:rsidRDefault="00297CEA" w:rsidP="00844CE8">
      <w:pPr>
        <w:autoSpaceDE w:val="0"/>
        <w:autoSpaceDN w:val="0"/>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b/>
          <w:sz w:val="28"/>
          <w:szCs w:val="28"/>
          <w:lang w:val="kk" w:eastAsia="ru-RU"/>
        </w:rPr>
        <w:t>Халықаралық патенттелмеген атауы</w:t>
      </w:r>
    </w:p>
    <w:p w14:paraId="391E8493" w14:textId="77777777" w:rsidR="002C76D7" w:rsidRPr="00727D0D" w:rsidRDefault="00297CEA" w:rsidP="00844CE8">
      <w:pPr>
        <w:autoSpaceDE w:val="0"/>
        <w:autoSpaceDN w:val="0"/>
        <w:spacing w:after="0" w:line="240" w:lineRule="auto"/>
        <w:jc w:val="both"/>
        <w:rPr>
          <w:rFonts w:ascii="Times New Roman" w:eastAsia="Times New Roman" w:hAnsi="Times New Roman"/>
          <w:bCs/>
          <w:sz w:val="28"/>
          <w:szCs w:val="28"/>
          <w:lang w:eastAsia="ru-RU"/>
        </w:rPr>
      </w:pPr>
      <w:bookmarkStart w:id="0" w:name="_Hlk169706216"/>
      <w:r w:rsidRPr="00727D0D">
        <w:rPr>
          <w:rFonts w:ascii="Times New Roman" w:eastAsia="Times New Roman" w:hAnsi="Times New Roman"/>
          <w:bCs/>
          <w:sz w:val="28"/>
          <w:szCs w:val="28"/>
          <w:lang w:val="kk" w:eastAsia="ru-RU"/>
        </w:rPr>
        <w:t>Иринотекан</w:t>
      </w:r>
    </w:p>
    <w:bookmarkEnd w:id="0"/>
    <w:p w14:paraId="62D0CB59" w14:textId="77777777" w:rsidR="00892CB3" w:rsidRPr="00727D0D" w:rsidRDefault="00892CB3" w:rsidP="00844CE8">
      <w:pPr>
        <w:autoSpaceDE w:val="0"/>
        <w:autoSpaceDN w:val="0"/>
        <w:spacing w:after="0" w:line="240" w:lineRule="auto"/>
        <w:jc w:val="both"/>
        <w:rPr>
          <w:rFonts w:ascii="Times New Roman" w:eastAsia="Times New Roman" w:hAnsi="Times New Roman"/>
          <w:bCs/>
          <w:sz w:val="28"/>
          <w:szCs w:val="28"/>
          <w:lang w:eastAsia="ru-RU"/>
        </w:rPr>
      </w:pPr>
    </w:p>
    <w:p w14:paraId="7F160E43" w14:textId="77777777" w:rsidR="00D76048" w:rsidRPr="00727D0D" w:rsidRDefault="00297CEA" w:rsidP="00844CE8">
      <w:pPr>
        <w:autoSpaceDE w:val="0"/>
        <w:autoSpaceDN w:val="0"/>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 xml:space="preserve">Дәрілік түрі, дозасы  </w:t>
      </w:r>
    </w:p>
    <w:p w14:paraId="0C2E26FD" w14:textId="77777777" w:rsidR="00892CB3" w:rsidRPr="00383CED" w:rsidRDefault="00297CEA" w:rsidP="00892CB3">
      <w:pPr>
        <w:autoSpaceDE w:val="0"/>
        <w:autoSpaceDN w:val="0"/>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val="kk" w:eastAsia="ru-RU"/>
        </w:rPr>
        <w:t>Инфузия үшін ерітінді дайындауға арналған концентрат, 20 мг/мл, 2 мл және 5 мл</w:t>
      </w:r>
    </w:p>
    <w:p w14:paraId="619A7B1E" w14:textId="77777777" w:rsidR="00892CB3" w:rsidRPr="00727D0D" w:rsidRDefault="00892CB3" w:rsidP="00892CB3">
      <w:pPr>
        <w:autoSpaceDE w:val="0"/>
        <w:autoSpaceDN w:val="0"/>
        <w:spacing w:after="0" w:line="240" w:lineRule="auto"/>
        <w:jc w:val="both"/>
        <w:rPr>
          <w:rFonts w:ascii="Times New Roman" w:eastAsia="Times New Roman" w:hAnsi="Times New Roman"/>
          <w:sz w:val="28"/>
          <w:szCs w:val="28"/>
          <w:lang w:eastAsia="ru-RU"/>
        </w:rPr>
      </w:pPr>
    </w:p>
    <w:p w14:paraId="7E722B7A" w14:textId="77777777" w:rsidR="002C1660" w:rsidRPr="00727D0D" w:rsidRDefault="00297CEA"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1" w:name="OCRUncertain022"/>
      <w:r w:rsidRPr="00727D0D">
        <w:rPr>
          <w:rFonts w:ascii="Times New Roman" w:eastAsia="Times New Roman" w:hAnsi="Times New Roman"/>
          <w:b/>
          <w:bCs/>
          <w:snapToGrid w:val="0"/>
          <w:sz w:val="28"/>
          <w:szCs w:val="28"/>
          <w:lang w:val="kk" w:eastAsia="ru-RU"/>
        </w:rPr>
        <w:t>Фармакотерапиялық</w:t>
      </w:r>
      <w:bookmarkEnd w:id="1"/>
      <w:r w:rsidRPr="00727D0D">
        <w:rPr>
          <w:rFonts w:ascii="Times New Roman" w:eastAsia="Times New Roman" w:hAnsi="Times New Roman"/>
          <w:b/>
          <w:bCs/>
          <w:snapToGrid w:val="0"/>
          <w:sz w:val="28"/>
          <w:szCs w:val="28"/>
          <w:lang w:val="kk" w:eastAsia="ru-RU"/>
        </w:rPr>
        <w:t xml:space="preserve"> тобы </w:t>
      </w:r>
    </w:p>
    <w:p w14:paraId="7CFAD1A4" w14:textId="77777777" w:rsidR="00764F92" w:rsidRPr="00F340D0" w:rsidRDefault="00297CEA" w:rsidP="00764F92">
      <w:pPr>
        <w:keepNext/>
        <w:widowControl w:val="0"/>
        <w:autoSpaceDE w:val="0"/>
        <w:autoSpaceDN w:val="0"/>
        <w:spacing w:after="0" w:line="240" w:lineRule="auto"/>
        <w:jc w:val="both"/>
        <w:outlineLvl w:val="0"/>
        <w:rPr>
          <w:rFonts w:ascii="Times New Roman" w:hAnsi="Times New Roman"/>
          <w:color w:val="000000"/>
          <w:sz w:val="28"/>
          <w:szCs w:val="28"/>
          <w:lang w:val="kk" w:eastAsia="ru-RU"/>
        </w:rPr>
      </w:pPr>
      <w:r w:rsidRPr="00727D0D">
        <w:rPr>
          <w:rFonts w:ascii="Times New Roman" w:hAnsi="Times New Roman"/>
          <w:color w:val="000000"/>
          <w:sz w:val="28"/>
          <w:szCs w:val="28"/>
          <w:lang w:val="kk" w:eastAsia="ru-RU"/>
        </w:rPr>
        <w:t>Антинеопластикалық және иммуномодуляциялайтын препараттар. Антинеопластикалық басқа препараттар. Өсімдік алкалоидтары және  табиғи тектес басқа да препараттар. Топоизомераза 1 тежегіштері (ТОР1). Иринотекан.</w:t>
      </w:r>
    </w:p>
    <w:p w14:paraId="3D497731" w14:textId="77777777" w:rsidR="002C76D7" w:rsidRPr="00F340D0" w:rsidRDefault="00297CEA" w:rsidP="00892CB3">
      <w:pPr>
        <w:keepNext/>
        <w:widowControl w:val="0"/>
        <w:autoSpaceDE w:val="0"/>
        <w:autoSpaceDN w:val="0"/>
        <w:spacing w:after="0" w:line="240" w:lineRule="auto"/>
        <w:outlineLvl w:val="0"/>
        <w:rPr>
          <w:rFonts w:ascii="Times New Roman" w:eastAsia="Times New Roman" w:hAnsi="Times New Roman"/>
          <w:b/>
          <w:bCs/>
          <w:sz w:val="28"/>
          <w:szCs w:val="28"/>
          <w:lang w:val="kk" w:eastAsia="ru-RU"/>
        </w:rPr>
      </w:pPr>
      <w:r w:rsidRPr="00727D0D">
        <w:rPr>
          <w:rFonts w:ascii="Times New Roman" w:hAnsi="Times New Roman"/>
          <w:sz w:val="28"/>
          <w:szCs w:val="28"/>
          <w:lang w:val="kk"/>
        </w:rPr>
        <w:t>АТХ коды L01CE02</w:t>
      </w:r>
      <w:r w:rsidRPr="00727D0D">
        <w:rPr>
          <w:rFonts w:ascii="Times New Roman" w:hAnsi="Times New Roman"/>
          <w:sz w:val="28"/>
          <w:szCs w:val="28"/>
          <w:lang w:val="kk"/>
        </w:rPr>
        <w:br/>
      </w:r>
    </w:p>
    <w:p w14:paraId="466E5AF5" w14:textId="77777777" w:rsidR="002C76D7" w:rsidRPr="00F340D0" w:rsidRDefault="00297CEA" w:rsidP="00844CE8">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727D0D">
        <w:rPr>
          <w:rFonts w:ascii="Times New Roman" w:eastAsia="Times New Roman" w:hAnsi="Times New Roman"/>
          <w:b/>
          <w:bCs/>
          <w:sz w:val="28"/>
          <w:szCs w:val="28"/>
          <w:lang w:val="kk" w:eastAsia="ru-RU"/>
        </w:rPr>
        <w:t xml:space="preserve">Қолданылуы </w:t>
      </w:r>
    </w:p>
    <w:p w14:paraId="12A43FC6" w14:textId="77777777" w:rsidR="008E74CF" w:rsidRPr="00F340D0" w:rsidRDefault="00297CEA" w:rsidP="008E74CF">
      <w:pPr>
        <w:spacing w:after="0" w:line="240" w:lineRule="auto"/>
        <w:jc w:val="both"/>
        <w:rPr>
          <w:rFonts w:ascii="Times New Roman" w:hAnsi="Times New Roman"/>
          <w:sz w:val="28"/>
          <w:szCs w:val="28"/>
          <w:lang w:val="kk"/>
        </w:rPr>
      </w:pPr>
      <w:r w:rsidRPr="009A3206">
        <w:rPr>
          <w:rFonts w:ascii="Times New Roman" w:hAnsi="Times New Roman"/>
          <w:sz w:val="28"/>
          <w:szCs w:val="28"/>
          <w:lang w:val="kk"/>
        </w:rPr>
        <w:t>Иринотекан жайылған колоректальді обыры бар пациенттерді емдеуге қолданылады:</w:t>
      </w:r>
    </w:p>
    <w:p w14:paraId="422F4F71" w14:textId="77777777" w:rsidR="008E74CF" w:rsidRPr="00F340D0" w:rsidRDefault="00297CEA" w:rsidP="008E74CF">
      <w:pPr>
        <w:spacing w:after="0" w:line="240" w:lineRule="auto"/>
        <w:jc w:val="both"/>
        <w:rPr>
          <w:rFonts w:ascii="Times New Roman" w:hAnsi="Times New Roman"/>
          <w:sz w:val="28"/>
          <w:szCs w:val="28"/>
          <w:lang w:val="kk"/>
        </w:rPr>
      </w:pPr>
      <w:r w:rsidRPr="00727D0D">
        <w:rPr>
          <w:rFonts w:ascii="Times New Roman" w:hAnsi="Times New Roman"/>
          <w:sz w:val="28"/>
          <w:szCs w:val="28"/>
          <w:lang w:val="kk"/>
        </w:rPr>
        <w:t>- бұрын химиялық ем алудан өтпеген үдемелі обыры бар пациенттерде 5- флюороурацилмен және фолий қышқылымен біріктірілімде;</w:t>
      </w:r>
    </w:p>
    <w:p w14:paraId="2C078AF4" w14:textId="77777777" w:rsidR="008E74CF" w:rsidRPr="00F340D0" w:rsidRDefault="00297CEA" w:rsidP="008E74CF">
      <w:pPr>
        <w:spacing w:after="0" w:line="240" w:lineRule="auto"/>
        <w:jc w:val="both"/>
        <w:rPr>
          <w:rFonts w:ascii="Times New Roman" w:hAnsi="Times New Roman"/>
          <w:sz w:val="28"/>
          <w:szCs w:val="28"/>
          <w:lang w:val="kk"/>
        </w:rPr>
      </w:pPr>
      <w:r w:rsidRPr="00727D0D">
        <w:rPr>
          <w:rFonts w:ascii="Times New Roman" w:hAnsi="Times New Roman"/>
          <w:sz w:val="28"/>
          <w:szCs w:val="28"/>
          <w:lang w:val="kk"/>
        </w:rPr>
        <w:t>- құрамында 5-флюороурацил бар белгіленген емдеу сызбасында жақсаруы байқалмаған пациенттерде монотерапия ретінде.</w:t>
      </w:r>
    </w:p>
    <w:p w14:paraId="386A7182" w14:textId="77777777" w:rsidR="008E74CF" w:rsidRPr="00F340D0" w:rsidRDefault="00297CEA" w:rsidP="008E74CF">
      <w:pPr>
        <w:spacing w:after="0" w:line="240" w:lineRule="auto"/>
        <w:jc w:val="both"/>
        <w:rPr>
          <w:rFonts w:ascii="Times New Roman" w:hAnsi="Times New Roman"/>
          <w:sz w:val="28"/>
          <w:szCs w:val="28"/>
          <w:lang w:val="kk"/>
        </w:rPr>
      </w:pPr>
      <w:r w:rsidRPr="009A3206">
        <w:rPr>
          <w:rFonts w:ascii="Times New Roman" w:hAnsi="Times New Roman"/>
          <w:sz w:val="28"/>
          <w:szCs w:val="28"/>
          <w:lang w:val="kk"/>
        </w:rPr>
        <w:t>Иринотекан бұрын ем алмаған, KRAS генінің жабайы типі немесе иринотекан қамтылатын цитоуытты ем тиімсіздігінен кейін эпидермалық өсу факторының рецепторын (ЭӨФР) экспрессиялайтын метастаздық колоректальді обыры бар пациенттерде цетуксимабпен біріктіріп емдеуге көрсетілген.</w:t>
      </w:r>
    </w:p>
    <w:p w14:paraId="66914AE9" w14:textId="77777777" w:rsidR="008E74CF" w:rsidRPr="00F340D0" w:rsidRDefault="00297CEA" w:rsidP="008E74CF">
      <w:pPr>
        <w:spacing w:after="0" w:line="240" w:lineRule="auto"/>
        <w:jc w:val="both"/>
        <w:rPr>
          <w:rFonts w:ascii="Times New Roman" w:hAnsi="Times New Roman"/>
          <w:sz w:val="28"/>
          <w:szCs w:val="28"/>
          <w:lang w:val="kk"/>
        </w:rPr>
      </w:pPr>
      <w:r w:rsidRPr="009A3206">
        <w:rPr>
          <w:rFonts w:ascii="Times New Roman" w:hAnsi="Times New Roman"/>
          <w:sz w:val="28"/>
          <w:szCs w:val="28"/>
          <w:lang w:val="kk"/>
        </w:rPr>
        <w:lastRenderedPageBreak/>
        <w:t>Иринотекан тоқ ішек немесе тік ішектің метастаздық карциномасы бар пациенттерді емдеудің бірінші желісі ретінде 5-флюороурацилмен, фолий қышқылымен және бевацизумабпен біріктірілімде қолданылады.</w:t>
      </w:r>
    </w:p>
    <w:p w14:paraId="6EF3BFCF" w14:textId="77777777" w:rsidR="00E24D8C" w:rsidRPr="00F340D0" w:rsidRDefault="00297CEA" w:rsidP="008E74CF">
      <w:pPr>
        <w:spacing w:after="0" w:line="240" w:lineRule="auto"/>
        <w:jc w:val="both"/>
        <w:rPr>
          <w:rFonts w:ascii="Times New Roman" w:hAnsi="Times New Roman"/>
          <w:sz w:val="28"/>
          <w:szCs w:val="28"/>
          <w:lang w:val="kk"/>
        </w:rPr>
      </w:pPr>
      <w:r w:rsidRPr="009A3206">
        <w:rPr>
          <w:rFonts w:ascii="Times New Roman" w:hAnsi="Times New Roman"/>
          <w:sz w:val="28"/>
          <w:szCs w:val="28"/>
          <w:lang w:val="kk"/>
        </w:rPr>
        <w:t>Иринотеканды метастаздық колоректальді карциномасы бар пациенттерді емдеу үшін капецитабинмен және бевацизумабпен біріктіріп немесе соңғысының қатысуынсыз бірінші желідегі ем ретінде қолдану көрсетілген.</w:t>
      </w:r>
    </w:p>
    <w:p w14:paraId="18124902" w14:textId="77777777" w:rsidR="008E74CF" w:rsidRPr="00F340D0" w:rsidRDefault="008E74CF" w:rsidP="008E74CF">
      <w:pPr>
        <w:spacing w:after="0" w:line="240" w:lineRule="auto"/>
        <w:jc w:val="both"/>
        <w:rPr>
          <w:rFonts w:ascii="Times New Roman" w:eastAsia="Times New Roman" w:hAnsi="Times New Roman"/>
          <w:b/>
          <w:sz w:val="28"/>
          <w:szCs w:val="28"/>
          <w:lang w:val="kk" w:eastAsia="ru-RU"/>
        </w:rPr>
      </w:pPr>
    </w:p>
    <w:p w14:paraId="10879F48" w14:textId="77777777" w:rsidR="00DB406A" w:rsidRPr="00F340D0" w:rsidRDefault="00297CEA" w:rsidP="00844CE8">
      <w:pPr>
        <w:spacing w:after="0" w:line="240" w:lineRule="auto"/>
        <w:jc w:val="both"/>
        <w:rPr>
          <w:rFonts w:ascii="Times New Roman" w:eastAsia="Times New Roman" w:hAnsi="Times New Roman"/>
          <w:b/>
          <w:sz w:val="28"/>
          <w:szCs w:val="28"/>
          <w:lang w:val="kk" w:eastAsia="ru-RU"/>
        </w:rPr>
      </w:pPr>
      <w:r w:rsidRPr="00727D0D">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3DF6408F" w14:textId="77777777" w:rsidR="007D0E84" w:rsidRPr="00F340D0" w:rsidRDefault="00297CEA" w:rsidP="00844CE8">
      <w:pPr>
        <w:spacing w:after="0" w:line="240" w:lineRule="auto"/>
        <w:jc w:val="both"/>
        <w:rPr>
          <w:rFonts w:ascii="Times New Roman" w:eastAsia="Times New Roman" w:hAnsi="Times New Roman"/>
          <w:b/>
          <w:i/>
          <w:sz w:val="28"/>
          <w:szCs w:val="28"/>
          <w:lang w:val="kk" w:eastAsia="ru-RU"/>
        </w:rPr>
      </w:pPr>
      <w:r w:rsidRPr="00727D0D">
        <w:rPr>
          <w:rFonts w:ascii="Times New Roman" w:eastAsia="Times New Roman" w:hAnsi="Times New Roman"/>
          <w:b/>
          <w:i/>
          <w:sz w:val="28"/>
          <w:szCs w:val="28"/>
          <w:lang w:val="kk" w:eastAsia="ru-RU"/>
        </w:rPr>
        <w:t>Қолдануға болмайтын жағдайлар</w:t>
      </w:r>
    </w:p>
    <w:p w14:paraId="2B1778A8"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әсер етуші затқа немесе «құрамы» бөлімінде аталған қосымша заттардың кез келгеніне аса жоғары сезімталдық</w:t>
      </w:r>
    </w:p>
    <w:p w14:paraId="3E7C7C2E"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xml:space="preserve">- ішектің созылмалы қабыну аурулары және/немесе ішек өткізгіштігінің бұзылулары </w:t>
      </w:r>
    </w:p>
    <w:p w14:paraId="48B4BE90"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xml:space="preserve">- лактация кезеңі </w:t>
      </w:r>
    </w:p>
    <w:p w14:paraId="58FF6996"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xml:space="preserve">- қан сарысуында қалыптың жоғарғы шегінен 3 есе асып кететін билирубин концентрациясы </w:t>
      </w:r>
    </w:p>
    <w:p w14:paraId="59828013"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сүйек кемігі қан түзілуінің айқын бәсеңдеуі</w:t>
      </w:r>
    </w:p>
    <w:p w14:paraId="7E7837E8"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ДДҰ (Дүниежүзілік денсаулық сақтау ұйымы) шкаласы бойынша &gt; 2 деп бағаланатын пациенттердің жалпы жай-күйі</w:t>
      </w:r>
    </w:p>
    <w:p w14:paraId="6505CBC5"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xml:space="preserve">- шілтер жапырақты шайқурай препараттарымен бір мезгілде қолдану </w:t>
      </w:r>
    </w:p>
    <w:p w14:paraId="2A673496"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аттенуирленген тірі вакциналар.</w:t>
      </w:r>
    </w:p>
    <w:p w14:paraId="5459272C" w14:textId="77777777" w:rsidR="008E74CF" w:rsidRPr="00F340D0" w:rsidRDefault="00297CEA" w:rsidP="008E74CF">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Цетуксимабқа, бевацизумабқа немесе капецитабинге қосымша қарсы көрсетілімдерді аталған препараттардың нұсқаулығынан қараңыз.</w:t>
      </w:r>
    </w:p>
    <w:p w14:paraId="7B40A42A" w14:textId="77777777" w:rsidR="007B6C32" w:rsidRPr="00F340D0" w:rsidRDefault="00297CEA" w:rsidP="008E74CF">
      <w:pPr>
        <w:spacing w:after="0" w:line="240" w:lineRule="auto"/>
        <w:jc w:val="both"/>
        <w:rPr>
          <w:rFonts w:ascii="Times New Roman" w:eastAsia="Times New Roman" w:hAnsi="Times New Roman"/>
          <w:b/>
          <w:bCs/>
          <w:i/>
          <w:iCs/>
          <w:sz w:val="28"/>
          <w:szCs w:val="28"/>
          <w:lang w:val="kk" w:eastAsia="ru-RU"/>
        </w:rPr>
      </w:pPr>
      <w:r w:rsidRPr="00727D0D">
        <w:rPr>
          <w:rFonts w:ascii="Times New Roman" w:eastAsia="Times New Roman" w:hAnsi="Times New Roman"/>
          <w:b/>
          <w:bCs/>
          <w:i/>
          <w:iCs/>
          <w:sz w:val="28"/>
          <w:szCs w:val="28"/>
          <w:lang w:val="kk" w:eastAsia="ru-RU"/>
        </w:rPr>
        <w:t>Қолдану кезінде қажетті сақтандыру шаралары</w:t>
      </w:r>
    </w:p>
    <w:p w14:paraId="79E6CFA6" w14:textId="77777777" w:rsidR="00217C61" w:rsidRPr="00F340D0" w:rsidRDefault="00297CEA" w:rsidP="00844CE8">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Иринотеканды қолдану ісікке қарсы химиялық емде жеткілікті тәжірибесі бар білікті адамның мұқият бақылауымен жүзеге асырылуға тиіс.</w:t>
      </w:r>
    </w:p>
    <w:p w14:paraId="26B8FED4" w14:textId="77777777" w:rsidR="007D0E84" w:rsidRPr="00F340D0" w:rsidRDefault="00297CEA" w:rsidP="00844CE8">
      <w:pPr>
        <w:spacing w:after="0" w:line="240" w:lineRule="auto"/>
        <w:jc w:val="both"/>
        <w:rPr>
          <w:rFonts w:ascii="Times New Roman" w:eastAsia="Times New Roman" w:hAnsi="Times New Roman"/>
          <w:b/>
          <w:i/>
          <w:sz w:val="28"/>
          <w:szCs w:val="28"/>
          <w:lang w:val="kk" w:eastAsia="ru-RU"/>
        </w:rPr>
      </w:pPr>
      <w:r w:rsidRPr="00727D0D">
        <w:rPr>
          <w:rFonts w:ascii="Times New Roman" w:eastAsia="Times New Roman" w:hAnsi="Times New Roman"/>
          <w:b/>
          <w:i/>
          <w:sz w:val="28"/>
          <w:szCs w:val="28"/>
          <w:lang w:val="kk" w:eastAsia="ru-RU"/>
        </w:rPr>
        <w:t>Басқа дәрілік препараттармен өзара әрекеттесуі</w:t>
      </w:r>
    </w:p>
    <w:p w14:paraId="2214D7AB"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bookmarkStart w:id="2" w:name="_Hlk63170772"/>
      <w:r w:rsidRPr="00727D0D">
        <w:rPr>
          <w:rFonts w:ascii="Times New Roman" w:eastAsia="Times New Roman" w:hAnsi="Times New Roman"/>
          <w:i/>
          <w:sz w:val="28"/>
          <w:szCs w:val="32"/>
          <w:lang w:val="kk" w:eastAsia="ru-RU"/>
        </w:rPr>
        <w:t>Қатар қолдануға болмайды</w:t>
      </w:r>
    </w:p>
    <w:p w14:paraId="14A28DFF"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Шайқурай</w:t>
      </w:r>
      <w:r w:rsidRPr="00727D0D">
        <w:rPr>
          <w:rFonts w:ascii="Times New Roman" w:eastAsia="Times New Roman" w:hAnsi="Times New Roman"/>
          <w:sz w:val="28"/>
          <w:szCs w:val="32"/>
          <w:lang w:val="kk" w:eastAsia="ru-RU"/>
        </w:rPr>
        <w:t>: иринотеканның белсенді метаболиті, SN-38-дің қан плазмасындағы деңгейінің төмендеуі. Шағын фармакокинетикалық зерттеуде (n=5), 350 мг/м2 иринотеканды 900 мг дозадағы шілтер жапырақты шайқураймен (Hypericum perforatum) бірге енгізген кезде иринотеканның белсенді метаболиті SN-38-дің қан плазмасында 42%-ға төмендегені байқалды.  Шайқурай мен иринотеканды бір мезгілде қабылдау ұсынылмайды.</w:t>
      </w:r>
    </w:p>
    <w:p w14:paraId="3B2E1F11"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Тірі аттенуирленген вакциналар (мысалы, сары қызбаға қарсы вакцина):</w:t>
      </w:r>
      <w:r w:rsidRPr="00727D0D">
        <w:rPr>
          <w:rFonts w:ascii="Times New Roman" w:eastAsia="Times New Roman" w:hAnsi="Times New Roman"/>
          <w:sz w:val="28"/>
          <w:szCs w:val="32"/>
          <w:lang w:val="kk" w:eastAsia="ru-RU"/>
        </w:rPr>
        <w:t xml:space="preserve"> вакцинаға жайылған реакция қаупі, өліммен аяқталуы мүмкін. Иринотеканмен емдеу кезінде және химиялық емді тоқтатқаннан кейін 6 ай ішінде бір мезгілде қолдануға болмайды. Өлтірілген немесе белсенділігі жойылған вакциналар енгізілуі мүмкін; алайда бұндай вакцинаға жауап төмен болуы мүмкін.  </w:t>
      </w:r>
    </w:p>
    <w:p w14:paraId="736AA830"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 xml:space="preserve">Бір мезгілде пайдалану ұсынылмайды  </w:t>
      </w:r>
    </w:p>
    <w:p w14:paraId="5DC3318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lastRenderedPageBreak/>
        <w:t>Иринотеканды P450 3A4 (CYP3A4) цитохромы тежегіштерімен немесе индукторларымен бір мезгілде қабылдау иринотеканның метаболизміне ықпал етуі мүмкін және одан аулақ болу керек.</w:t>
      </w:r>
    </w:p>
    <w:p w14:paraId="2450A84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CYP3A4 және/немесе UGT1A1 айтарлықтай индукциялайтын дәрілік заттар: </w:t>
      </w:r>
      <w:r w:rsidRPr="00727D0D">
        <w:rPr>
          <w:rFonts w:ascii="Times New Roman" w:eastAsia="Times New Roman" w:hAnsi="Times New Roman"/>
          <w:sz w:val="28"/>
          <w:szCs w:val="32"/>
          <w:lang w:val="kk" w:eastAsia="ru-RU"/>
        </w:rPr>
        <w:t>(мысалы, рифампицин, карбамазепин, фенобарбитал, фенитоин немесе апалутамид): иринотеканның, SN-38 және SN-38 глюкуронид әсерінің төмендеу қаупі және фармакодинамикалық әсерлерінің төмендеуі. Бірнеше зерттеулер CYP3A4 индукциялайтын құрысуға қарсы дәрілік заттарды бір мезгілде қабылдау иринотеканның, SN-38 және SN-38 глюкуронидтің әсері төмендеуіне және фармакодинамикалық әсерлерінің төмендеуіне әкелетінін көрсетті.  Мұндай құрысуға қарсы дәрілік заттардың әсерлері SN-38 және SN-38G AUC 50% және одан астамға  төмендеуімен көрінді. CYP3A4 ферменттерінің индукциясымен қатар, күшейтілген глюкуронизация және өтпен болатын күшейтілген экскреция иринотеканның және оның метаболиттерінің әсері төмендеуінде рөл атқаруы мүмкін. Бұған қосымша фенитоинмен: цитоуытты дәрілік заттармен фенитоиннің асқорытудағы сіңірілуінің төмендеуі нәтижесінде құрысулардың өршу қаупі.</w:t>
      </w:r>
    </w:p>
    <w:p w14:paraId="45551652"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CYP3A4 күшті тежегіштері: </w:t>
      </w:r>
      <w:r w:rsidRPr="00727D0D">
        <w:rPr>
          <w:rFonts w:ascii="Times New Roman" w:eastAsia="Times New Roman" w:hAnsi="Times New Roman"/>
          <w:sz w:val="28"/>
          <w:szCs w:val="32"/>
          <w:lang w:val="kk" w:eastAsia="ru-RU"/>
        </w:rPr>
        <w:t>(мысалы, кетоконазол, итраконазол, вориконазол, позаконазол, протеаза тежегіштері, кларитромицин, эритромицин, телитромицин): зерттеу көрсеткендей, кетоконазолды бірге енгізу иринотекан монотерапиясымен салыстырғанда, АРС негізгі тотықтырғыш метаболиті AUC 87% азаюына және SN-38 AUC 109% артуына әкелді.</w:t>
      </w:r>
    </w:p>
    <w:p w14:paraId="6C460FC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UGT1A1 тежегіштері: </w:t>
      </w:r>
      <w:r w:rsidRPr="00727D0D">
        <w:rPr>
          <w:rFonts w:ascii="Times New Roman" w:eastAsia="Times New Roman" w:hAnsi="Times New Roman"/>
          <w:sz w:val="28"/>
          <w:szCs w:val="32"/>
          <w:lang w:val="kk" w:eastAsia="ru-RU"/>
        </w:rPr>
        <w:t>(мысалы, атазанавир, кетоконазол, регорафениб)</w:t>
      </w:r>
    </w:p>
    <w:p w14:paraId="56D8CDF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Иринотеканның белсенді метаболиті SN-38 жүйелі әсерінің арту қаупі. Егер біріктіру өте қажет болса, мамандар осыны назарда ұстауы қажет.</w:t>
      </w:r>
    </w:p>
    <w:p w14:paraId="56615F4E"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CYP3A4 басқа тежегіштері: </w:t>
      </w:r>
      <w:r w:rsidRPr="00727D0D">
        <w:rPr>
          <w:rFonts w:ascii="Times New Roman" w:eastAsia="Times New Roman" w:hAnsi="Times New Roman"/>
          <w:sz w:val="28"/>
          <w:szCs w:val="32"/>
          <w:lang w:val="kk" w:eastAsia="ru-RU"/>
        </w:rPr>
        <w:t>(мысалы, кризотиниб, иделалисиб)</w:t>
      </w:r>
    </w:p>
    <w:p w14:paraId="70921B7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Кризотинибтен немесе иделалисибтен оның метаболизмі төмендеуі салдарынан иринотекан уыттылығының жоғарылау қаупі.</w:t>
      </w:r>
    </w:p>
    <w:p w14:paraId="30355052" w14:textId="77777777" w:rsidR="008E74CF" w:rsidRPr="00F340D0" w:rsidRDefault="00297CEA" w:rsidP="008E74CF">
      <w:pPr>
        <w:spacing w:after="0" w:line="240" w:lineRule="auto"/>
        <w:jc w:val="both"/>
        <w:rPr>
          <w:rFonts w:ascii="Times New Roman" w:eastAsia="Times New Roman" w:hAnsi="Times New Roman"/>
          <w:i/>
          <w:sz w:val="28"/>
          <w:szCs w:val="32"/>
          <w:u w:val="single"/>
          <w:lang w:val="kk" w:eastAsia="ru-RU"/>
        </w:rPr>
      </w:pPr>
      <w:r w:rsidRPr="00727D0D">
        <w:rPr>
          <w:rFonts w:ascii="Times New Roman" w:eastAsia="Times New Roman" w:hAnsi="Times New Roman"/>
          <w:i/>
          <w:sz w:val="28"/>
          <w:szCs w:val="32"/>
          <w:u w:val="single"/>
          <w:lang w:val="kk" w:eastAsia="ru-RU"/>
        </w:rPr>
        <w:t>Пайдаланған кезде сақ болу керек</w:t>
      </w:r>
    </w:p>
    <w:p w14:paraId="08571F6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К дәруменінің антагонистері: </w:t>
      </w:r>
      <w:r w:rsidRPr="00727D0D">
        <w:rPr>
          <w:rFonts w:ascii="Times New Roman" w:eastAsia="Times New Roman" w:hAnsi="Times New Roman"/>
          <w:sz w:val="28"/>
          <w:szCs w:val="32"/>
          <w:lang w:val="kk" w:eastAsia="ru-RU"/>
        </w:rPr>
        <w:t>ісік аурулары кезінде қан кетулер мен тромбоздық оқиғалар қаупінің жоғарылауы. Егер К дәруменінің антагонистері көрсетілген болса, протромбин уақытына жиірек мониторинг жасау талап етіледі.</w:t>
      </w:r>
    </w:p>
    <w:p w14:paraId="115C5C15" w14:textId="77777777" w:rsidR="008E74CF" w:rsidRPr="00727D0D" w:rsidRDefault="00297CEA" w:rsidP="008E74CF">
      <w:pPr>
        <w:spacing w:after="0" w:line="240" w:lineRule="auto"/>
        <w:jc w:val="both"/>
        <w:rPr>
          <w:rFonts w:ascii="Times New Roman" w:eastAsia="Times New Roman" w:hAnsi="Times New Roman"/>
          <w:i/>
          <w:sz w:val="28"/>
          <w:szCs w:val="32"/>
          <w:u w:val="single"/>
          <w:lang w:eastAsia="ru-RU"/>
        </w:rPr>
      </w:pPr>
      <w:r w:rsidRPr="00727D0D">
        <w:rPr>
          <w:rFonts w:ascii="Times New Roman" w:eastAsia="Times New Roman" w:hAnsi="Times New Roman"/>
          <w:i/>
          <w:sz w:val="28"/>
          <w:szCs w:val="32"/>
          <w:u w:val="single"/>
          <w:lang w:val="kk" w:eastAsia="ru-RU"/>
        </w:rPr>
        <w:t>Қатар қолдану кезінде назар аудару қажет</w:t>
      </w:r>
    </w:p>
    <w:p w14:paraId="1F4544CF"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val="kk" w:eastAsia="ru-RU"/>
        </w:rPr>
        <w:t>Иммунодепрессанттар:</w:t>
      </w:r>
      <w:r w:rsidRPr="00727D0D">
        <w:rPr>
          <w:rFonts w:ascii="Times New Roman" w:eastAsia="Times New Roman" w:hAnsi="Times New Roman"/>
          <w:sz w:val="28"/>
          <w:szCs w:val="32"/>
          <w:lang w:val="kk" w:eastAsia="ru-RU"/>
        </w:rPr>
        <w:t xml:space="preserve"> (мысалы, циклоспорин, такролимус): лимфопролиферация қаупі бар шамадан тыс иммуносупрессия.</w:t>
      </w:r>
    </w:p>
    <w:p w14:paraId="3F6D6F0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Жүйке-бұлшықет блокаторлары: </w:t>
      </w:r>
      <w:r w:rsidRPr="00727D0D">
        <w:rPr>
          <w:rFonts w:ascii="Times New Roman" w:eastAsia="Times New Roman" w:hAnsi="Times New Roman"/>
          <w:sz w:val="28"/>
          <w:szCs w:val="32"/>
          <w:lang w:val="kk" w:eastAsia="ru-RU"/>
        </w:rPr>
        <w:t xml:space="preserve">иринотеканның жүйке-бұлшықет блокаторларымен өзара әрекеттесуін жоққа шығаруға болмайды. Иринотекан антихолинэстеразалық белсенділікке ие болғандықтан, антихолинэстеразалық белсенділігі бар дәрілік заттар суксаметонийдің жүйке-бұлшықеттік бөгеуші әсерлерін ұзартуы мүмкін, ал </w:t>
      </w:r>
      <w:r w:rsidRPr="00727D0D">
        <w:rPr>
          <w:rFonts w:ascii="Times New Roman" w:eastAsia="Times New Roman" w:hAnsi="Times New Roman"/>
          <w:sz w:val="28"/>
          <w:szCs w:val="32"/>
          <w:lang w:val="kk" w:eastAsia="ru-RU"/>
        </w:rPr>
        <w:lastRenderedPageBreak/>
        <w:t>деполяризацияламайтын дәрілік заттардың жүйке-бұлшықеттік блокадасы антагонистік сипат алуы мүмкін.</w:t>
      </w:r>
    </w:p>
    <w:p w14:paraId="64481682"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Басқа біріктірілімдер</w:t>
      </w:r>
    </w:p>
    <w:p w14:paraId="3C946C51"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iCs/>
          <w:sz w:val="28"/>
          <w:szCs w:val="32"/>
          <w:lang w:val="kk" w:eastAsia="ru-RU"/>
        </w:rPr>
        <w:t xml:space="preserve">5-Флюороурацил/фолий қышқылы: </w:t>
      </w:r>
      <w:r w:rsidRPr="00727D0D">
        <w:rPr>
          <w:rFonts w:ascii="Times New Roman" w:eastAsia="Times New Roman" w:hAnsi="Times New Roman"/>
          <w:sz w:val="28"/>
          <w:szCs w:val="32"/>
          <w:lang w:val="kk" w:eastAsia="ru-RU"/>
        </w:rPr>
        <w:t>біріктірілген режимде 5-ФУ/ФҚ бірге енгізу иринотеканның фармакокинетикасына ықпал етпейді.</w:t>
      </w:r>
    </w:p>
    <w:p w14:paraId="250C3944"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Бевацизумаб:</w:t>
      </w:r>
      <w:r w:rsidRPr="00727D0D">
        <w:rPr>
          <w:rFonts w:ascii="Times New Roman" w:eastAsia="Times New Roman" w:hAnsi="Times New Roman"/>
          <w:sz w:val="28"/>
          <w:szCs w:val="32"/>
          <w:lang w:val="kk" w:eastAsia="ru-RU"/>
        </w:rPr>
        <w:t xml:space="preserve"> дәрілік өзара әрекеттесуінің арнайы зерттеу нәтижелері бевацизумабтың иринотеканның және оның белсенді метаболиті SN-38-дің фармакокинетикасына елеулі ықпалының жоқ екенін көрсетті. Алайда бұл фармакологиялық қасиеттерінің салдарынан уыттылықтың жоғарылауын жоққа шығармайды.</w:t>
      </w:r>
    </w:p>
    <w:p w14:paraId="60FDB76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 xml:space="preserve">Цетуксимаб: </w:t>
      </w:r>
      <w:r w:rsidRPr="00727D0D">
        <w:rPr>
          <w:rFonts w:ascii="Times New Roman" w:eastAsia="Times New Roman" w:hAnsi="Times New Roman"/>
          <w:sz w:val="28"/>
          <w:szCs w:val="32"/>
          <w:lang w:val="kk" w:eastAsia="ru-RU"/>
        </w:rPr>
        <w:t>иринотеканның қауіпсіздік бейініне цетуксимабтың ықпал етуіне немесе керісінше болатынына ешқандай дәлелдер жоқ.</w:t>
      </w:r>
    </w:p>
    <w:p w14:paraId="0070B745" w14:textId="77777777" w:rsidR="008E74CF" w:rsidRPr="00F340D0" w:rsidRDefault="00297CEA" w:rsidP="004B4A47">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iCs/>
          <w:sz w:val="28"/>
          <w:szCs w:val="32"/>
          <w:lang w:val="kk" w:eastAsia="ru-RU"/>
        </w:rPr>
        <w:t xml:space="preserve">Ісікке қарсы дәрілер (5-фторурацил дәрі ізашары ретінде флуцитозинді қоса алғанда): </w:t>
      </w:r>
      <w:r w:rsidRPr="00727D0D">
        <w:rPr>
          <w:rFonts w:ascii="Times New Roman" w:eastAsia="Times New Roman" w:hAnsi="Times New Roman"/>
          <w:sz w:val="28"/>
          <w:szCs w:val="32"/>
          <w:lang w:val="kk" w:eastAsia="ru-RU"/>
        </w:rPr>
        <w:t>иринотеканның миелосупрессия сияқты жағымсыз әсерлері басқа бейіні ұқсас ісікке қарсы дәрілермен күшеюі мүмкін.</w:t>
      </w:r>
      <w:bookmarkEnd w:id="2"/>
    </w:p>
    <w:p w14:paraId="7F3379ED" w14:textId="77777777" w:rsidR="004B4A47" w:rsidRPr="00727D0D" w:rsidRDefault="00297CEA" w:rsidP="004B4A47">
      <w:pPr>
        <w:spacing w:after="0" w:line="240" w:lineRule="auto"/>
        <w:jc w:val="both"/>
        <w:rPr>
          <w:rFonts w:ascii="Times New Roman" w:eastAsia="Times New Roman" w:hAnsi="Times New Roman"/>
          <w:b/>
          <w:i/>
          <w:sz w:val="28"/>
          <w:szCs w:val="28"/>
          <w:lang w:eastAsia="ru-RU"/>
        </w:rPr>
      </w:pPr>
      <w:r w:rsidRPr="00727D0D">
        <w:rPr>
          <w:rFonts w:ascii="Times New Roman" w:eastAsia="Times New Roman" w:hAnsi="Times New Roman"/>
          <w:b/>
          <w:i/>
          <w:sz w:val="28"/>
          <w:szCs w:val="28"/>
          <w:lang w:val="kk" w:eastAsia="ru-RU"/>
        </w:rPr>
        <w:t>Арнайы сақтандырулар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B1157" w14:paraId="53F2F492" w14:textId="77777777" w:rsidTr="00AB55A9">
        <w:tc>
          <w:tcPr>
            <w:tcW w:w="5000" w:type="pct"/>
            <w:shd w:val="clear" w:color="auto" w:fill="auto"/>
          </w:tcPr>
          <w:p w14:paraId="74D96B36" w14:textId="77777777" w:rsidR="00AB55A9" w:rsidRPr="00727D0D" w:rsidRDefault="00297CEA" w:rsidP="002D351D">
            <w:pPr>
              <w:spacing w:after="0" w:line="240" w:lineRule="auto"/>
              <w:jc w:val="both"/>
              <w:rPr>
                <w:rFonts w:ascii="Times New Roman" w:eastAsia="Times New Roman" w:hAnsi="Times New Roman"/>
                <w:sz w:val="24"/>
                <w:szCs w:val="28"/>
                <w:lang w:eastAsia="ru-RU"/>
              </w:rPr>
            </w:pPr>
            <w:r w:rsidRPr="00727D0D">
              <w:rPr>
                <w:rFonts w:ascii="Times New Roman" w:eastAsia="Times New Roman" w:hAnsi="Times New Roman"/>
                <w:sz w:val="28"/>
                <w:szCs w:val="32"/>
                <w:lang w:val="kk" w:eastAsia="ru-RU"/>
              </w:rPr>
              <w:t>Иринотеканды қолдану ісікке қарсы химиялық емде жеткілікті тәжірибесі бар білікті адамның мұқият бақылауымен жүзеге асырылуға тиіс.</w:t>
            </w:r>
          </w:p>
        </w:tc>
      </w:tr>
    </w:tbl>
    <w:p w14:paraId="2A9D6BEB"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bookmarkStart w:id="3" w:name="_Hlk63170784"/>
      <w:r w:rsidRPr="00727D0D">
        <w:rPr>
          <w:rFonts w:ascii="Times New Roman" w:eastAsia="Times New Roman" w:hAnsi="Times New Roman"/>
          <w:sz w:val="28"/>
          <w:szCs w:val="32"/>
          <w:lang w:val="kk" w:eastAsia="ru-RU"/>
        </w:rPr>
        <w:t>Жағымсыз құбылыстардың сипаты мен даму жиілігін ескеріп, иринотеканды келесі жағдайларда ықтимал емдік қауіптерге байланысты пайдасын мұқият талдағаннан кейін ғана тағайындау керек:</w:t>
      </w:r>
    </w:p>
    <w:p w14:paraId="7441D8E8"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val="kk" w:eastAsia="ru-RU"/>
        </w:rPr>
        <w:t>• қауіп факторы бар пациенттерде, әсіресе ДДҰ тиімділік статусы = 2 болатындарда.</w:t>
      </w:r>
    </w:p>
    <w:p w14:paraId="1D2B2183"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сирек жағдайларда, пациенттер жағымсыз құбылыстарды жою жөніндегі нұсқауларды (кешеуілдеген диарея басталған кезде сұйықтықты көп мөлшерде тұтынумен бірге дереу және ұзаққа созылған диареяға қарсы емдеу қажеттілігі) орындамаған кезде. Мұндай пациенттерге қатаң стационарлық қадағалау ұсынылады.</w:t>
      </w:r>
    </w:p>
    <w:p w14:paraId="1AB1615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Иринотеканмен монотерапия кезінде үш апталық қабылдау кестесі тағайындалады. Алайда апта сайын дозалау кестесін неғұрлым мұқият бақылауды қажет ететін пациенттерде немесе ауыр нейтропения дамуының ерекше қаупі бар пациенттерде қарастыруға болады. </w:t>
      </w:r>
    </w:p>
    <w:p w14:paraId="21F08D78"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Кешеуілдеген диарея</w:t>
      </w:r>
    </w:p>
    <w:p w14:paraId="246FEAE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Пациенттерге кешеуілдеген диарея қаупі туралы мағлұмат берілуге тиіс, өйткені ол иринотеканды енгізгеннен кейін 24 сағаттан астам уақыттан соң келесі енгізуге дейінгі кез келген сатыда пайда болуы мүмкін. Монотерапияда алғашқы сұйық нәжістің пайда болуына дейінгі уақыт кезеңі иринотекан инфузиясынан кейін бес күнді құрады. Пациенттер диареяның пайда болғаны туралы емдеуші дәрігерге дереу хабарлауға және тиісті емді тез арада бастауға тиіс.</w:t>
      </w:r>
    </w:p>
    <w:p w14:paraId="7494074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Диареяның даму қаупі жоғары пациенттерге бұрын абдоминальді/жамбас сәулелік емінен өткен пациенттер, бастапқы гиперлейкоцитозы бар пациенттер және жұмысқа қабілеттіліктің ≥ 2 статусы бар пациенттер, </w:t>
      </w:r>
      <w:r w:rsidRPr="00727D0D">
        <w:rPr>
          <w:rFonts w:ascii="Times New Roman" w:eastAsia="Times New Roman" w:hAnsi="Times New Roman"/>
          <w:sz w:val="28"/>
          <w:szCs w:val="32"/>
          <w:lang w:val="kk" w:eastAsia="ru-RU"/>
        </w:rPr>
        <w:lastRenderedPageBreak/>
        <w:t>сондай-ақ әйелдер жатады. Тиісті ем жүргізілмеген жағдайда диарея өмірге қауіп төндіретін сипат алуы мүмкін, әсіресе нейтропения бар болған кезде.</w:t>
      </w:r>
    </w:p>
    <w:p w14:paraId="6DE8C4D9"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Сұйық нәжістің алғашқы көрінісінде, пациент құрамында электролиттер бар сұйықтықты көп мөлшерде тұтынуы, және емдеуші дәрігердің басшылығымен диареяға қарсы емді дереу бастауға тиіс. Ауруханадан шыққаннан кейін, пациенттер диареяға қарсы қажетті ем алуы керек. Бұдан басқа, диарея пайда болған кезде бұл туралы өзінің емдеуші дәрігеріне немесе иринотеканды енгізуге бақылау жасаған мекемеге хабарлау қажет.</w:t>
      </w:r>
    </w:p>
    <w:p w14:paraId="15D4BBB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Қазіргі уақытта, ұсынылған диареяға қарсы ем лоперамидтің үлкен дозаларынан тұрады (алғашқы қабылдауда 4 мг, содан соң әр 2 сағат сайын 2 мг). Ең соңғы сұйық нәжістен кейін емді 12 сағат бойы жалғастыру керек, және оны түзетуге болмайды. Салданған ішек бітелісінің қаупі бар болғандықтан, ешбір жағдайда лоперамидті аталған дозаларда қатарынан 48 сағаттан артық тағайындамау керек, емнің ұзақтығы 12 сағаттан аз болуға тиіс.</w:t>
      </w:r>
    </w:p>
    <w:p w14:paraId="1D32DB5D"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Диарея ауыр нейтропениямен (нейтрофилдер саны &lt;500 жасуша/мм</w:t>
      </w:r>
      <w:r w:rsidRPr="00727D0D">
        <w:rPr>
          <w:rFonts w:ascii="Times New Roman" w:eastAsia="Times New Roman" w:hAnsi="Times New Roman"/>
          <w:sz w:val="28"/>
          <w:szCs w:val="32"/>
          <w:vertAlign w:val="superscript"/>
          <w:lang w:val="kk" w:eastAsia="ru-RU"/>
        </w:rPr>
        <w:t>3</w:t>
      </w:r>
      <w:r w:rsidRPr="00727D0D">
        <w:rPr>
          <w:rFonts w:ascii="Times New Roman" w:eastAsia="Times New Roman" w:hAnsi="Times New Roman"/>
          <w:sz w:val="28"/>
          <w:szCs w:val="32"/>
          <w:lang w:val="kk" w:eastAsia="ru-RU"/>
        </w:rPr>
        <w:t>) байланысты болған жағдайларда диареяға қарсы емге қосымша әсер ету ауқымы кең профилактикалық антибиотик тағайындау қажет.</w:t>
      </w:r>
    </w:p>
    <w:p w14:paraId="43163DE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Антибиотиктермен емдеуге қоса, мынадай жағдайларда ауруханаға жатқызу талап етіледі:</w:t>
      </w:r>
    </w:p>
    <w:p w14:paraId="475091F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қызбамен байланысты диарея;</w:t>
      </w:r>
    </w:p>
    <w:p w14:paraId="78FC978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күшті диарея (вена ішіне сұйықтық енгізуді қажет ететін);</w:t>
      </w:r>
    </w:p>
    <w:p w14:paraId="0D4E1E5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лоперамидтің үлкен дозаларымен емдеу басталғаннан кейін 48 сағаттан астамға созылған диарея.</w:t>
      </w:r>
    </w:p>
    <w:p w14:paraId="08EEB2A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Лоперамидті дәрілік затты соңғы қабылдағанда баяулаған диарея байқалған пациенттерге профилактикалық мақсатта тағайындамау керек. </w:t>
      </w:r>
    </w:p>
    <w:p w14:paraId="4849136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Егер пациентте ауыр (асқынған) диарея пайда болса, келесі циклдерде дозаны төмендету ұсынылады.</w:t>
      </w:r>
    </w:p>
    <w:p w14:paraId="367A229F"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Гематология</w:t>
      </w:r>
    </w:p>
    <w:p w14:paraId="068EFD31"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Клиникалық зерттеулерде 3 және 4 дәрежедегі NCI CTC Grade нейтропения жиілігі бұрын абдоминальді/жамбас сәулеленуін қабылдаған пациенттерде едәуір жоғары болды. Қан сарысуындағы билирубиннің бастапқы деңгейі 1,0 мг/дл немесе одан көп болған пациенттерде де билирубин деңгейі 1,0 мг/дл-ден аз пациенттерге қарағанда алғашқы циклде 3 және 4 дәрежедегі нейтропенияның пайда болу ықтималдығы едәуір жоғары болды.</w:t>
      </w:r>
    </w:p>
    <w:p w14:paraId="3693E298"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Иринотеканмен емдеу кезінде қан жасушаларының жалпы санына апта сайынғы мониторинг жүргізу ұсынылады. Пациенттерге нейтропенияның қаупі және қызбаның маңызы туралы мағлұмат берілуге тиіс. Қызбалы нейтропенияны (температура &gt; 38°C, нейтрофилдер саны ≤ 1000 жасуша/мм</w:t>
      </w:r>
      <w:r w:rsidRPr="00727D0D">
        <w:rPr>
          <w:rFonts w:ascii="Times New Roman" w:eastAsia="Times New Roman" w:hAnsi="Times New Roman"/>
          <w:sz w:val="28"/>
          <w:szCs w:val="32"/>
          <w:vertAlign w:val="superscript"/>
          <w:lang w:val="kk" w:eastAsia="ru-RU"/>
        </w:rPr>
        <w:t>3</w:t>
      </w:r>
      <w:r w:rsidRPr="00727D0D">
        <w:rPr>
          <w:rFonts w:ascii="Times New Roman" w:eastAsia="Times New Roman" w:hAnsi="Times New Roman"/>
          <w:sz w:val="28"/>
          <w:szCs w:val="32"/>
          <w:lang w:val="kk" w:eastAsia="ru-RU"/>
        </w:rPr>
        <w:t xml:space="preserve">) стационарда әсер ету ауқымы кең венаішілік антибиотиктердің көмегімен дереу емдеу қажет. </w:t>
      </w:r>
    </w:p>
    <w:p w14:paraId="6268B7F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Ауыр гематологиялық бұзылыстары бар пациенттерге келесі енгізуге арналған дозаны төмендету ұсынылады.</w:t>
      </w:r>
    </w:p>
    <w:p w14:paraId="6667256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lastRenderedPageBreak/>
        <w:t>Ауыр диареясы бар пациенттерде инфекцияның және гематологиялық уыттылықтың қаупі жоғарылайды. Ауыр диареясы бар пациенттерде қанның толық талдауын жүргізу керек.</w:t>
      </w:r>
    </w:p>
    <w:p w14:paraId="1E138923" w14:textId="77777777" w:rsidR="008E74CF" w:rsidRPr="00F340D0" w:rsidRDefault="00297CEA" w:rsidP="008E74CF">
      <w:pPr>
        <w:spacing w:after="0" w:line="240" w:lineRule="auto"/>
        <w:jc w:val="both"/>
        <w:rPr>
          <w:rFonts w:ascii="Times New Roman" w:eastAsia="Times New Roman" w:hAnsi="Times New Roman"/>
          <w:i/>
          <w:iCs/>
          <w:sz w:val="28"/>
          <w:szCs w:val="32"/>
          <w:lang w:val="kk" w:eastAsia="ru-RU"/>
        </w:rPr>
      </w:pPr>
      <w:r w:rsidRPr="00727D0D">
        <w:rPr>
          <w:rFonts w:ascii="Times New Roman" w:eastAsia="Times New Roman" w:hAnsi="Times New Roman"/>
          <w:i/>
          <w:iCs/>
          <w:sz w:val="28"/>
          <w:szCs w:val="32"/>
          <w:lang w:val="kk" w:eastAsia="ru-RU"/>
        </w:rPr>
        <w:t>UGT1A1 белсенділігі төмендеген пациенттер</w:t>
      </w:r>
    </w:p>
    <w:p w14:paraId="6E80C294"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UGT1A1 метаболизмі әлсіз, мысалы Жильбер синдромы бар (UGT1A1*28 немесе *6 нұсқалары бойынша гомозиготалы) пациенттер иринотеканмен емделгеннен кейін ауыр нейтропения және диарея дамуының жоғары қаупіне ұшырайды. Бұл қауіп иринотекан дозасын көбейтумен артады.</w:t>
      </w:r>
    </w:p>
    <w:p w14:paraId="5CB590D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Бастапқы дозаны дәл төмендету анықталмаса да, UGT1A1 метаболизмі баяу, әсіресе &gt; 180 мг/м</w:t>
      </w:r>
      <w:r w:rsidRPr="00727D0D">
        <w:rPr>
          <w:rFonts w:ascii="Times New Roman" w:eastAsia="Times New Roman" w:hAnsi="Times New Roman"/>
          <w:sz w:val="28"/>
          <w:szCs w:val="32"/>
          <w:vertAlign w:val="superscript"/>
          <w:lang w:val="kk" w:eastAsia="ru-RU"/>
        </w:rPr>
        <w:t>2</w:t>
      </w:r>
      <w:r w:rsidRPr="00727D0D">
        <w:rPr>
          <w:rFonts w:ascii="Times New Roman" w:eastAsia="Times New Roman" w:hAnsi="Times New Roman"/>
          <w:sz w:val="28"/>
          <w:szCs w:val="32"/>
          <w:lang w:val="kk" w:eastAsia="ru-RU"/>
        </w:rPr>
        <w:t xml:space="preserve"> доза тағайындалатын пациенттерде немесе әлсіреген пациенттерде иринотеканның бастапқы дозасын төмендету мүмкіндігін қарастырған жөн. Пациенттердің осы тобына арналған дозалау жөніндегі нұсқаулар бойынша қолданылатын клиникалық нұсқауларды ескеру қажет. Кейінгі дозалар пациенттегі жеке жағымдылығына байланысты арттырылуы мүмкін. </w:t>
      </w:r>
    </w:p>
    <w:p w14:paraId="3C816EE1"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UGT1A1 генотиптеуді ауыр нейтропения және диарея дамуының қаупі жоғары пациенттерді анықтау үшін пайдалануға болады, алайда ем басталғанға дейінгі генотиптеудің клиникалық пайдасы түсініксіз, өйткені UGT1A1 полиморфизм иринотеканмен ем кезінде бақыланатын уыттылықтың барлығын түсіндіре алмайды.</w:t>
      </w:r>
    </w:p>
    <w:p w14:paraId="4C87761E"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Бауыр жеткіліксіздігі</w:t>
      </w:r>
    </w:p>
    <w:p w14:paraId="03CB4893"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Бауырдың функциялық сынамаларын бастапқы деңгейде және препаратты қабылдаудың әрбір циклінің алдында алу қажет.</w:t>
      </w:r>
    </w:p>
    <w:p w14:paraId="28ABE38E"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Билирубин деңгейі қалыптың жоғарғы шегінен 1,5–3 есе асатын пациенттерде иринотекан клиренсі төмендейтіндіктен және демек, пациенттердің бұл тобында гематоуыттылық уыттылық қаупі жоғарылайтындықтан, қанның толық талдауына апта сайын мониторинг жүргізу керек. Билирубин қалыптың жоғарғы шегінен 3 есе асатын пациенттер үшін.</w:t>
      </w:r>
    </w:p>
    <w:p w14:paraId="6545823F"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Жүрек айну және құсу</w:t>
      </w:r>
    </w:p>
    <w:p w14:paraId="36A2858D"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Иринотеканды әрбір енгізер алдында құсуға қарсы дәрімен профилактикалық емдеу ұсынылады. Кешеуілдеген диареяға байланысты құсу байқалған пациенттерді шұғыл түрде ауруханаға жатқызу қажет.</w:t>
      </w:r>
    </w:p>
    <w:p w14:paraId="13EA43D3"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Жедел холинергиялық синдром</w:t>
      </w:r>
    </w:p>
    <w:p w14:paraId="1D38A1B6"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Жедел холинергиялық синдром (ерте диарея ретінде анықталатын және тершеңдік, іштің түйілуі, миоз және сілекей ағу сияқты кейбір басқа да белгілер мен симптомдар бар болғанда) пайда болған кезде клиникалық қарсы көрсетілімдер болмаса, атропин сульфатын (0,25 мг тері астына) енгізу керек.</w:t>
      </w:r>
    </w:p>
    <w:p w14:paraId="20A0957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Бұл симптомдар иринотекан инфузиясы кезінде немесе одан кейін көп ұзамай байқалуы мүмкін; олар бастапқы иринотекан қосылысының антихолинэстеразалық белсенділігімен байланысты деп саналады және иринотеканның жоғарырақ дозаларында жиі туындайтыны күтіледі.</w:t>
      </w:r>
    </w:p>
    <w:p w14:paraId="4B92C19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lastRenderedPageBreak/>
        <w:t>Бронх демікпесі бар науқастарды емдегенде сақтық таныту керек. Егер пациентте жедел және ауыр холинергиялық синдром байқалса, атропин сульфатын кейіннен иринотекан енгізумен профилактикалық қолдану ұсынылады.</w:t>
      </w:r>
    </w:p>
    <w:p w14:paraId="581A4D2B"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Респираторлық аурулар</w:t>
      </w:r>
    </w:p>
    <w:p w14:paraId="040F601D" w14:textId="77777777" w:rsidR="008E74CF" w:rsidRPr="00F340D0" w:rsidRDefault="00297CEA" w:rsidP="008E74CF">
      <w:pPr>
        <w:spacing w:after="0" w:line="240" w:lineRule="auto"/>
        <w:jc w:val="both"/>
        <w:rPr>
          <w:rFonts w:ascii="Times New Roman" w:eastAsia="Times New Roman" w:hAnsi="Times New Roman"/>
          <w:b/>
          <w:sz w:val="28"/>
          <w:szCs w:val="32"/>
          <w:lang w:val="kk" w:eastAsia="ru-RU"/>
        </w:rPr>
      </w:pPr>
      <w:r w:rsidRPr="00727D0D">
        <w:rPr>
          <w:rFonts w:ascii="Times New Roman" w:eastAsia="Times New Roman" w:hAnsi="Times New Roman"/>
          <w:sz w:val="28"/>
          <w:szCs w:val="32"/>
          <w:lang w:val="kk" w:eastAsia="ru-RU"/>
        </w:rPr>
        <w:t>Иринотеканмен ем кезінде сирек жағдайларда өкпенің интерстициальді ауруларының пайда болғанын көрсететін өкпе инфильтраттары бар жай-күйлер туындады. Өкпенің интерстициальді ауруы өліммен аяқталуы мүмкін. Өкпенің интерстициальді ауруларының дамуымен байланысты болуы мүмкін қауіп факторлары пневмоуытты дәрілік заттарды, сәулелік емді және жасушалардың өсу факторларын пайдаланудан болуы ықтимал. Қауіп факторлары бар пациенттерде иринотеканмен емдеуге дейін және емдеу кезінде респираторлық симптомдардың пайда болуын анықтау үшін мұқият мониторинг жүргізу қажет.</w:t>
      </w:r>
    </w:p>
    <w:p w14:paraId="5CE6E4D1"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Экстравазация</w:t>
      </w:r>
    </w:p>
    <w:p w14:paraId="20E50D2E"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 везикант емес екеніне қарамастан, эктравазацияны болдырмау үшін сақтық танытқан жөн, сондай-ақ енгізу орнында қабыну белгілерінің жоқ екенін бақылау керек. Экстравазация пайда болған жағдайда ол жерді жуу және мұз қою ұсынылады.</w:t>
      </w:r>
    </w:p>
    <w:p w14:paraId="0E375CBB"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Егде жастағы пациенттер</w:t>
      </w:r>
    </w:p>
    <w:p w14:paraId="7CED1C31"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Биологиялық функцияның, атап айтқанда бауыр функциясының жиі төмендеуіне байланысты, популяцияның бұл тобында дозаны мұқият таңдау керек.</w:t>
      </w:r>
    </w:p>
    <w:p w14:paraId="2F5F6EBA"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 xml:space="preserve">Ішектің созылмалы қабыну ауруы және/немесе бітелуі </w:t>
      </w:r>
    </w:p>
    <w:p w14:paraId="7B2790D6"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Ішек бітелісі жойылғанға дейін иринотеканды тағайындау ұсынылмайды.</w:t>
      </w:r>
    </w:p>
    <w:p w14:paraId="37EC5595"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Бүйрек жеткіліксіздігі бар пациенттер</w:t>
      </w:r>
    </w:p>
    <w:p w14:paraId="009C0814"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Сарысудағы креатинин деңгейінің немесе қандағы мочевина азотының жоғарылағаны байқалды. Бүйректің жедел жеткіліксіздігі жағдайлары байқалды. Аталған құбылыстарды әдетте инфекцияның асқынуларымен немесе жүрек айну, құсу немесе диареяға байланысты сусызданумен байланыстырады. Сондай-ақ ісік лизисі синдромынан туындаған бүйрек жеткіліксіздігінің сирек жағдайлары туралы да хабарланды. </w:t>
      </w:r>
    </w:p>
    <w:p w14:paraId="7CEE9DA9"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i/>
          <w:sz w:val="28"/>
          <w:szCs w:val="32"/>
          <w:lang w:val="kk" w:eastAsia="ru-RU"/>
        </w:rPr>
        <w:t>Сәулемен емдеу</w:t>
      </w:r>
    </w:p>
    <w:p w14:paraId="692357A7"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Абдоминальді/ жамбас сәулеленуді бұрын алған пациенттер иринотеканды қабылдағаннан кейін миелосупрессияның жоғары қаупіне ұшырайды. Дәрігерлер алдыңғы ауқымды сәулеленуі бар (мысалы, сәулеленген сүйек кемігі &gt; 25% және иринотеканмен ем басталғанға дейін 6 апта бойы) пациенттерді емдегенде сақ болуға тиіс. Пациенттердің осы тобына дозаны түзету қажет болуы мүмкін.</w:t>
      </w:r>
    </w:p>
    <w:p w14:paraId="0BE67F68"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Жүрек тарапынан бұзылулар</w:t>
      </w:r>
    </w:p>
    <w:p w14:paraId="24B2752D"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Миокард ишемиясы жағдайлары иринотеканмен емдегеннен кейін көбінесе жүректің қатарлас аурулары, жүрек ауруларының басқа да қауіп </w:t>
      </w:r>
      <w:r w:rsidRPr="00727D0D">
        <w:rPr>
          <w:rFonts w:ascii="Times New Roman" w:eastAsia="Times New Roman" w:hAnsi="Times New Roman"/>
          <w:sz w:val="28"/>
          <w:szCs w:val="32"/>
          <w:lang w:val="kk" w:eastAsia="ru-RU"/>
        </w:rPr>
        <w:lastRenderedPageBreak/>
        <w:t>факторлары бар немесе бұдан бұрын цитоуытты химиялық ем алған пациенттерде байқалған.</w:t>
      </w:r>
    </w:p>
    <w:p w14:paraId="6D460242"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Демек, қауіп тобындағы пациенттер дәрігердің мұқият бақылауында болуға тиіс, сонымен қатар қоздыратын факторларды (шылым шегу, гипертониялық ауру және гиперлипидемия) жоққа шығару қажет. </w:t>
      </w:r>
    </w:p>
    <w:p w14:paraId="31D17FAF"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Тамырлық бұзылыстар</w:t>
      </w:r>
    </w:p>
    <w:p w14:paraId="4D1C3105"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 қабылдауды бұрыннан бар жаңа түзілімге қосымша ретінде көптеген қауіп факторлары бар пациенттерде тромбоэмболиялық құбылыстармен (өкпе артериясының тромбоэмболиясы, веналық тромбоз және артериялық тромбоэмболия) сирек байланыстырған.</w:t>
      </w:r>
    </w:p>
    <w:p w14:paraId="4D915B7E"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Басқалар</w:t>
      </w:r>
    </w:p>
    <w:p w14:paraId="5C6FBFF9" w14:textId="77777777" w:rsidR="00F16B90"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Иринотеканды CYP3A4 күшті тежегішімен (мысалы, кетоконазолмен) немесе индукторымен (мысалы, рифампицинмен, карбамазепинмен, фенобарбиталмен,  фенитоинмен, апалутамидпен) бір мезгілде қолдану иринотеканның метаболизміне ықпал етуі мүмкін, және одан аулақ болу керек.</w:t>
      </w:r>
    </w:p>
    <w:p w14:paraId="46248D12"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Бүйрек жеткіліксіздігінің, гипотонияның немесе қанайналым жеткіліксіздігінің сирек жағдайлары диареямен және/немесе құсумен, немесе сепсиспен байланысты сусыздану көріністері байқалған пациенттерде білінді.</w:t>
      </w:r>
    </w:p>
    <w:p w14:paraId="0344CEAC" w14:textId="77777777" w:rsidR="00F16B90" w:rsidRPr="00F340D0" w:rsidRDefault="00297CEA" w:rsidP="00F16B90">
      <w:pPr>
        <w:spacing w:after="0" w:line="240" w:lineRule="auto"/>
        <w:jc w:val="both"/>
        <w:rPr>
          <w:rFonts w:ascii="Times New Roman" w:eastAsia="Times New Roman" w:hAnsi="Times New Roman"/>
          <w:i/>
          <w:iCs/>
          <w:sz w:val="28"/>
          <w:szCs w:val="32"/>
          <w:lang w:val="kk" w:eastAsia="ru-RU"/>
        </w:rPr>
      </w:pPr>
      <w:r w:rsidRPr="00F16B90">
        <w:rPr>
          <w:rFonts w:ascii="Times New Roman" w:eastAsia="Times New Roman" w:hAnsi="Times New Roman"/>
          <w:i/>
          <w:iCs/>
          <w:sz w:val="28"/>
          <w:szCs w:val="32"/>
          <w:lang w:val="kk" w:eastAsia="ru-RU"/>
        </w:rPr>
        <w:t>Ерлер мен әйелдердегі контрацепция</w:t>
      </w:r>
    </w:p>
    <w:p w14:paraId="01B95BE1" w14:textId="77777777" w:rsidR="00F16B90" w:rsidRPr="00F340D0" w:rsidRDefault="00297CEA" w:rsidP="00F16B90">
      <w:pPr>
        <w:spacing w:after="0" w:line="240" w:lineRule="auto"/>
        <w:jc w:val="both"/>
        <w:rPr>
          <w:rFonts w:ascii="Times New Roman" w:eastAsia="Times New Roman" w:hAnsi="Times New Roman"/>
          <w:sz w:val="28"/>
          <w:szCs w:val="32"/>
          <w:lang w:val="kk" w:eastAsia="ru-RU"/>
        </w:rPr>
      </w:pPr>
      <w:r w:rsidRPr="00F16B90">
        <w:rPr>
          <w:rFonts w:ascii="Times New Roman" w:eastAsia="Times New Roman" w:hAnsi="Times New Roman"/>
          <w:sz w:val="28"/>
          <w:szCs w:val="32"/>
          <w:lang w:val="kk" w:eastAsia="ru-RU"/>
        </w:rPr>
        <w:t xml:space="preserve">Бала туу әлеуеті бар әйелдер мен ерлер ем кезінде және иринотеканды соңғы енгізгеннен кейін 6 ай бойы тиімді контрацепцияның тиімді құралдарын қолдануы керек. </w:t>
      </w:r>
    </w:p>
    <w:p w14:paraId="3F066D7B" w14:textId="77777777" w:rsidR="00F16B90" w:rsidRPr="00F340D0" w:rsidRDefault="00297CEA" w:rsidP="008E74CF">
      <w:pPr>
        <w:spacing w:after="0" w:line="240" w:lineRule="auto"/>
        <w:jc w:val="both"/>
        <w:rPr>
          <w:rFonts w:ascii="Times New Roman" w:eastAsia="Times New Roman" w:hAnsi="Times New Roman"/>
          <w:sz w:val="28"/>
          <w:szCs w:val="32"/>
          <w:lang w:val="kk" w:eastAsia="ru-RU"/>
        </w:rPr>
      </w:pPr>
      <w:r w:rsidRPr="00F16B90">
        <w:rPr>
          <w:rFonts w:ascii="Times New Roman" w:eastAsia="Times New Roman" w:hAnsi="Times New Roman"/>
          <w:sz w:val="28"/>
          <w:szCs w:val="32"/>
          <w:lang w:val="kk" w:eastAsia="ru-RU"/>
        </w:rPr>
        <w:t>Геноуыттылық ықтималдылығына байланысты бала туу әлеуеті бар әйел серіктестері бар еркек-пациенттерге емдеу кезінде және иринотеканның соңғы дозасын қабылдағаннан кейін 3 ай бойы тиімді контрацепция әдістерін қолдану ұсынылады.</w:t>
      </w:r>
    </w:p>
    <w:p w14:paraId="74A2CEA2" w14:textId="77777777" w:rsidR="008E74CF" w:rsidRPr="00F340D0" w:rsidRDefault="00297CEA" w:rsidP="008E74CF">
      <w:pPr>
        <w:spacing w:after="0" w:line="240" w:lineRule="auto"/>
        <w:jc w:val="both"/>
        <w:rPr>
          <w:rFonts w:ascii="Times New Roman" w:eastAsia="Times New Roman" w:hAnsi="Times New Roman"/>
          <w:i/>
          <w:iCs/>
          <w:sz w:val="28"/>
          <w:szCs w:val="32"/>
          <w:lang w:val="kk" w:eastAsia="ru-RU"/>
        </w:rPr>
      </w:pPr>
      <w:r w:rsidRPr="00727D0D">
        <w:rPr>
          <w:rFonts w:ascii="Times New Roman" w:eastAsia="Times New Roman" w:hAnsi="Times New Roman"/>
          <w:i/>
          <w:iCs/>
          <w:sz w:val="28"/>
          <w:szCs w:val="32"/>
          <w:lang w:val="kk" w:eastAsia="ru-RU"/>
        </w:rPr>
        <w:t>Бала емізу</w:t>
      </w:r>
    </w:p>
    <w:p w14:paraId="24DE15F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Емшек еметін сәбилерде жағымсыз реакциялардың даму мүмкіндігіне байланысты, иринотеканмен емдеу кезінде бала емізуді тоқтату керек.</w:t>
      </w:r>
    </w:p>
    <w:p w14:paraId="76FC600A"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Сәбилер мен кіші жастағы балаларға (2 жасқа дейін) тұқым қуалайтын фруктоза жақпаушылығы (ТФЖ) диагнозы қойылуы мүмкін емес. Вена ішіне енгізілетін дәрілердің (құрамында фруктоза бар) ТФЖ бар адамдарда өмірге қауіпті салдары болуы мүмкін, және оларды аса клиникалық қажеттілік пен баламалардың жоқтығы жағдайларын қоспағанда, осы топтағы тұрғындарға тағайындауға болмайды.</w:t>
      </w:r>
    </w:p>
    <w:p w14:paraId="4AFD6741" w14:textId="77777777" w:rsidR="008E74CF" w:rsidRPr="00F340D0" w:rsidRDefault="00297CEA" w:rsidP="0073477B">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Осы дәрілік препаратты тағайындамас бұрын әр пациенттің ТФЖ симптомдарына қатысты егжей-тегжейлі анамнезін жинау қажет.</w:t>
      </w:r>
    </w:p>
    <w:p w14:paraId="766EF9C2" w14:textId="77777777" w:rsidR="00383CED" w:rsidRPr="00F340D0" w:rsidRDefault="00297CEA" w:rsidP="00383CED">
      <w:pPr>
        <w:spacing w:after="0" w:line="240" w:lineRule="auto"/>
        <w:jc w:val="both"/>
        <w:rPr>
          <w:rFonts w:ascii="Times New Roman" w:eastAsia="Times New Roman" w:hAnsi="Times New Roman"/>
          <w:i/>
          <w:iCs/>
          <w:sz w:val="28"/>
          <w:szCs w:val="32"/>
          <w:lang w:val="kk" w:eastAsia="ru-RU"/>
        </w:rPr>
      </w:pPr>
      <w:r w:rsidRPr="00383CED">
        <w:rPr>
          <w:rFonts w:ascii="Times New Roman" w:eastAsia="Times New Roman" w:hAnsi="Times New Roman"/>
          <w:i/>
          <w:iCs/>
          <w:sz w:val="28"/>
          <w:szCs w:val="32"/>
          <w:lang w:val="kk" w:eastAsia="ru-RU"/>
        </w:rPr>
        <w:t>Қосымша заттар</w:t>
      </w:r>
    </w:p>
    <w:p w14:paraId="1A707CD1" w14:textId="77777777" w:rsidR="00383CED" w:rsidRPr="00F340D0" w:rsidRDefault="00297CEA" w:rsidP="0073477B">
      <w:pPr>
        <w:spacing w:after="0" w:line="240" w:lineRule="auto"/>
        <w:jc w:val="both"/>
        <w:rPr>
          <w:rFonts w:ascii="Times New Roman" w:eastAsia="Times New Roman" w:hAnsi="Times New Roman"/>
          <w:sz w:val="28"/>
          <w:szCs w:val="32"/>
          <w:lang w:val="kk" w:eastAsia="ru-RU"/>
        </w:rPr>
      </w:pPr>
      <w:r>
        <w:rPr>
          <w:rFonts w:ascii="Times New Roman" w:eastAsia="Times New Roman" w:hAnsi="Times New Roman"/>
          <w:sz w:val="28"/>
          <w:szCs w:val="32"/>
          <w:lang w:val="kk" w:eastAsia="ru-RU"/>
        </w:rPr>
        <w:t>Иринотеканның құрамында фруктозаның тұқым қуалайтын жақпаушылығы бар пациенттерге қолдануға болмайтын сорбитол бар.</w:t>
      </w:r>
    </w:p>
    <w:p w14:paraId="687122C8" w14:textId="77777777" w:rsidR="0073477B" w:rsidRPr="00F340D0" w:rsidRDefault="00297CEA" w:rsidP="0073477B">
      <w:pPr>
        <w:spacing w:after="0" w:line="240" w:lineRule="auto"/>
        <w:jc w:val="both"/>
        <w:rPr>
          <w:rFonts w:ascii="Times New Roman" w:eastAsia="Times New Roman" w:hAnsi="Times New Roman"/>
          <w:i/>
          <w:sz w:val="28"/>
          <w:szCs w:val="28"/>
          <w:lang w:val="kk" w:eastAsia="ru-RU"/>
        </w:rPr>
      </w:pPr>
      <w:r w:rsidRPr="00727D0D">
        <w:rPr>
          <w:rFonts w:ascii="Times New Roman" w:eastAsia="Times New Roman" w:hAnsi="Times New Roman"/>
          <w:i/>
          <w:sz w:val="28"/>
          <w:szCs w:val="28"/>
          <w:lang w:val="kk" w:eastAsia="ru-RU"/>
        </w:rPr>
        <w:t>Жүктілік немесе лактация кезінде</w:t>
      </w:r>
    </w:p>
    <w:p w14:paraId="57505016" w14:textId="77777777" w:rsidR="0073477B" w:rsidRPr="00F340D0" w:rsidRDefault="00297CEA" w:rsidP="0073477B">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lastRenderedPageBreak/>
        <w:t>Иринотеканды жүкті әйелдердің қолдануы туралы деректер жоқ. Демек, препаратты жүктілік кезінде өте қажеттілігі болмаса қолданбау керек.</w:t>
      </w:r>
    </w:p>
    <w:p w14:paraId="3F1D3861" w14:textId="77777777" w:rsidR="0073477B" w:rsidRPr="00F340D0" w:rsidRDefault="00297CEA" w:rsidP="0073477B">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Иринотекан адамның емшек сүтімен бөліне ме, жоқ па, белгісіз. Демек, емшек еметін балалардағы жағымсыз реакциялар мүмкіндігіне байланысты, емдеу кезінде бала емізуді тоқтату керек.</w:t>
      </w:r>
    </w:p>
    <w:p w14:paraId="5F08B9A7" w14:textId="77777777" w:rsidR="0073477B" w:rsidRPr="00F340D0" w:rsidRDefault="00297CEA" w:rsidP="0073477B">
      <w:pPr>
        <w:spacing w:after="0" w:line="240" w:lineRule="auto"/>
        <w:jc w:val="both"/>
        <w:rPr>
          <w:rFonts w:ascii="Times New Roman" w:eastAsia="Times New Roman" w:hAnsi="Times New Roman"/>
          <w:i/>
          <w:sz w:val="28"/>
          <w:szCs w:val="28"/>
          <w:lang w:val="kk" w:eastAsia="ru-RU"/>
        </w:rPr>
      </w:pPr>
      <w:r w:rsidRPr="00727D0D">
        <w:rPr>
          <w:rFonts w:ascii="Times New Roman" w:eastAsia="Times New Roman" w:hAnsi="Times New Roman"/>
          <w:i/>
          <w:sz w:val="28"/>
          <w:szCs w:val="28"/>
          <w:lang w:val="kk" w:eastAsia="ru-RU"/>
        </w:rPr>
        <w:t>Фертильділік</w:t>
      </w:r>
    </w:p>
    <w:p w14:paraId="6CC72264" w14:textId="77777777" w:rsidR="0073477B" w:rsidRPr="00F340D0" w:rsidRDefault="00297CEA" w:rsidP="0073477B">
      <w:pPr>
        <w:spacing w:after="0" w:line="240" w:lineRule="auto"/>
        <w:jc w:val="both"/>
        <w:rPr>
          <w:rFonts w:ascii="Times New Roman" w:eastAsia="Times New Roman" w:hAnsi="Times New Roman"/>
          <w:sz w:val="28"/>
          <w:szCs w:val="28"/>
          <w:lang w:val="kk" w:eastAsia="ru-RU"/>
        </w:rPr>
      </w:pPr>
      <w:r w:rsidRPr="00727D0D">
        <w:rPr>
          <w:rFonts w:ascii="Times New Roman" w:eastAsia="Times New Roman" w:hAnsi="Times New Roman"/>
          <w:sz w:val="28"/>
          <w:szCs w:val="28"/>
          <w:lang w:val="kk" w:eastAsia="ru-RU"/>
        </w:rPr>
        <w:t xml:space="preserve">Иринотеканның адамдардағы фертильділікке ықпалы туралы деректер жоқ. </w:t>
      </w:r>
    </w:p>
    <w:bookmarkEnd w:id="3"/>
    <w:p w14:paraId="2E7F57A8" w14:textId="77777777" w:rsidR="00FA4F7C" w:rsidRPr="00F340D0" w:rsidRDefault="00297CEA" w:rsidP="00844CE8">
      <w:pPr>
        <w:spacing w:after="0" w:line="240" w:lineRule="auto"/>
        <w:jc w:val="both"/>
        <w:rPr>
          <w:rFonts w:ascii="Times New Roman" w:hAnsi="Times New Roman"/>
          <w:i/>
          <w:sz w:val="28"/>
          <w:szCs w:val="28"/>
          <w:lang w:val="kk"/>
        </w:rPr>
      </w:pPr>
      <w:r w:rsidRPr="00727D0D">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6528F49" w14:textId="77777777" w:rsidR="00892CB3" w:rsidRPr="00F340D0" w:rsidRDefault="00297CEA" w:rsidP="00892CB3">
      <w:pPr>
        <w:spacing w:after="0" w:line="240" w:lineRule="auto"/>
        <w:jc w:val="both"/>
        <w:rPr>
          <w:rFonts w:ascii="Times New Roman" w:eastAsia="Times New Roman" w:hAnsi="Times New Roman"/>
          <w:b/>
          <w:sz w:val="28"/>
          <w:szCs w:val="28"/>
          <w:lang w:val="kk" w:eastAsia="ru-RU"/>
        </w:rPr>
      </w:pPr>
      <w:bookmarkStart w:id="4" w:name="_Hlk54968536"/>
      <w:r w:rsidRPr="00727D0D">
        <w:rPr>
          <w:rFonts w:ascii="Times New Roman" w:eastAsia="Times New Roman" w:hAnsi="Times New Roman"/>
          <w:sz w:val="28"/>
          <w:szCs w:val="28"/>
          <w:lang w:val="kk" w:eastAsia="ru-RU"/>
        </w:rPr>
        <w:t>Пациенттерге иринотекан қабылдағаннан кейін 24 сағат ішінде пайда болуы мүмкін бас айналу немесе көрудің бұзылуы туралы ескерту керек. Аталған симптомдар туындағанда көлік құралдарын және қауіптілігі зор механизмдерді басқаруды тоқтату керек.</w:t>
      </w:r>
    </w:p>
    <w:bookmarkEnd w:id="4"/>
    <w:p w14:paraId="084FD9C3" w14:textId="77777777" w:rsidR="007D0E84" w:rsidRPr="00F340D0" w:rsidRDefault="007D0E84" w:rsidP="00844CE8">
      <w:pPr>
        <w:spacing w:after="0" w:line="240" w:lineRule="auto"/>
        <w:jc w:val="both"/>
        <w:rPr>
          <w:rFonts w:ascii="Times New Roman" w:eastAsia="Times New Roman" w:hAnsi="Times New Roman"/>
          <w:bCs/>
          <w:sz w:val="28"/>
          <w:szCs w:val="28"/>
          <w:lang w:val="kk" w:eastAsia="ru-RU"/>
        </w:rPr>
      </w:pPr>
    </w:p>
    <w:p w14:paraId="7A61B313" w14:textId="77777777" w:rsidR="00DB406A" w:rsidRPr="00F340D0" w:rsidRDefault="00297CEA" w:rsidP="00844CE8">
      <w:pPr>
        <w:spacing w:after="0" w:line="240" w:lineRule="auto"/>
        <w:jc w:val="both"/>
        <w:rPr>
          <w:rFonts w:ascii="Times New Roman" w:eastAsia="Times New Roman" w:hAnsi="Times New Roman"/>
          <w:b/>
          <w:sz w:val="28"/>
          <w:szCs w:val="28"/>
          <w:lang w:val="kk" w:eastAsia="ru-RU"/>
        </w:rPr>
      </w:pPr>
      <w:r w:rsidRPr="00727D0D">
        <w:rPr>
          <w:rFonts w:ascii="Times New Roman" w:eastAsia="Times New Roman" w:hAnsi="Times New Roman"/>
          <w:b/>
          <w:sz w:val="28"/>
          <w:szCs w:val="28"/>
          <w:lang w:val="kk" w:eastAsia="ru-RU"/>
        </w:rPr>
        <w:t xml:space="preserve">Қолдану жөніндегі нұсқаулар  </w:t>
      </w:r>
    </w:p>
    <w:p w14:paraId="111FEAAC" w14:textId="77777777" w:rsidR="005C4B12" w:rsidRPr="00F340D0" w:rsidRDefault="00297CEA" w:rsidP="00844CE8">
      <w:pPr>
        <w:spacing w:after="0" w:line="240" w:lineRule="auto"/>
        <w:jc w:val="both"/>
        <w:rPr>
          <w:rFonts w:ascii="Times New Roman" w:eastAsia="Times New Roman" w:hAnsi="Times New Roman"/>
          <w:b/>
          <w:i/>
          <w:sz w:val="28"/>
          <w:szCs w:val="28"/>
          <w:lang w:val="kk" w:eastAsia="ru-RU"/>
        </w:rPr>
      </w:pPr>
      <w:bookmarkStart w:id="5" w:name="2175220274"/>
      <w:r w:rsidRPr="00727D0D">
        <w:rPr>
          <w:rFonts w:ascii="Times New Roman" w:eastAsia="Times New Roman" w:hAnsi="Times New Roman"/>
          <w:b/>
          <w:i/>
          <w:sz w:val="28"/>
          <w:szCs w:val="28"/>
          <w:lang w:val="kk" w:eastAsia="ru-RU"/>
        </w:rPr>
        <w:t xml:space="preserve">Дозалау режимі </w:t>
      </w:r>
    </w:p>
    <w:p w14:paraId="107A8B40" w14:textId="77777777" w:rsidR="008E74CF" w:rsidRPr="00F340D0" w:rsidRDefault="00297CEA" w:rsidP="008E74CF">
      <w:pPr>
        <w:spacing w:after="0" w:line="240" w:lineRule="auto"/>
        <w:jc w:val="both"/>
        <w:rPr>
          <w:rFonts w:ascii="Times New Roman" w:eastAsia="Times New Roman" w:hAnsi="Times New Roman"/>
          <w:bCs/>
          <w:sz w:val="28"/>
          <w:szCs w:val="32"/>
          <w:lang w:val="kk" w:eastAsia="ru-RU"/>
        </w:rPr>
      </w:pPr>
      <w:r w:rsidRPr="00727D0D">
        <w:rPr>
          <w:rFonts w:ascii="Times New Roman" w:eastAsia="Times New Roman" w:hAnsi="Times New Roman"/>
          <w:bCs/>
          <w:sz w:val="28"/>
          <w:szCs w:val="32"/>
          <w:lang w:val="kk" w:eastAsia="ru-RU"/>
        </w:rPr>
        <w:t>Тек ересектерге арналған. Иринотеканның сұйылтылған инфузиялық ерітіндісін шеткері немесе орталық венаға енгізу керек.</w:t>
      </w:r>
    </w:p>
    <w:p w14:paraId="483CC3A8" w14:textId="77777777" w:rsidR="008E74CF" w:rsidRPr="00727D0D" w:rsidRDefault="00297CEA"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val="kk" w:eastAsia="ru-RU"/>
        </w:rPr>
        <w:t>Монотерапияда (бұрын ем қабылдаған пациенттерде)</w:t>
      </w:r>
    </w:p>
    <w:p w14:paraId="5E2AE0B7"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val="kk" w:eastAsia="ru-RU"/>
        </w:rPr>
        <w:t>Иринотеканның ұсынылатын дозасы 350 мг/м</w:t>
      </w:r>
      <w:r w:rsidRPr="00727D0D">
        <w:rPr>
          <w:rFonts w:ascii="Times New Roman" w:eastAsia="Times New Roman" w:hAnsi="Times New Roman"/>
          <w:sz w:val="28"/>
          <w:szCs w:val="32"/>
          <w:vertAlign w:val="superscript"/>
          <w:lang w:val="kk" w:eastAsia="ru-RU"/>
        </w:rPr>
        <w:t>2</w:t>
      </w:r>
      <w:r w:rsidRPr="00727D0D">
        <w:rPr>
          <w:rFonts w:ascii="Times New Roman" w:eastAsia="Times New Roman" w:hAnsi="Times New Roman"/>
          <w:sz w:val="28"/>
          <w:szCs w:val="32"/>
          <w:lang w:val="kk" w:eastAsia="ru-RU"/>
        </w:rPr>
        <w:t xml:space="preserve"> құрайды, вена ішіне инфузия түрінде әр үш апта сайын 30-90 минут бойы енгізіледі.</w:t>
      </w:r>
    </w:p>
    <w:p w14:paraId="2DFBC0C5" w14:textId="77777777" w:rsidR="008E74CF" w:rsidRPr="00727D0D" w:rsidRDefault="00297CEA"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val="kk" w:eastAsia="ru-RU"/>
        </w:rPr>
        <w:t>Біріктірілген ем құрамында (бұрын ем қабылдамаған пациенттерде)</w:t>
      </w:r>
    </w:p>
    <w:p w14:paraId="2E1F1BCF"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val="kk" w:eastAsia="ru-RU"/>
        </w:rPr>
        <w:t>5-флюороурацилмен (5-ФУ) және фолий қышқылымен (ФҚ) біріктірілген иринотеканның  қауіпсіздігі мен тиімділігі мынадай сызба бойынша бағаланды:</w:t>
      </w:r>
    </w:p>
    <w:p w14:paraId="7A7AB0A8"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val="kk" w:eastAsia="ru-RU"/>
        </w:rPr>
        <w:t>- 5-ФУ/ФҚ біріктірілген иринотекан әр 2 апта сайын.</w:t>
      </w:r>
    </w:p>
    <w:p w14:paraId="4FD822C7" w14:textId="77777777" w:rsidR="008E74CF" w:rsidRPr="00727D0D" w:rsidRDefault="00297CEA"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val="kk" w:eastAsia="ru-RU"/>
        </w:rPr>
        <w:t>Иринотеканның ұсынылатын дозасы 180 мг/м</w:t>
      </w:r>
      <w:r w:rsidRPr="00727D0D">
        <w:rPr>
          <w:rFonts w:ascii="Times New Roman" w:eastAsia="Times New Roman" w:hAnsi="Times New Roman"/>
          <w:sz w:val="28"/>
          <w:szCs w:val="32"/>
          <w:vertAlign w:val="superscript"/>
          <w:lang w:val="kk" w:eastAsia="ru-RU"/>
        </w:rPr>
        <w:t>2</w:t>
      </w:r>
      <w:r w:rsidRPr="00727D0D">
        <w:rPr>
          <w:rFonts w:ascii="Times New Roman" w:eastAsia="Times New Roman" w:hAnsi="Times New Roman"/>
          <w:sz w:val="28"/>
          <w:szCs w:val="32"/>
          <w:lang w:val="kk" w:eastAsia="ru-RU"/>
        </w:rPr>
        <w:t xml:space="preserve"> құрайды, вена ішіне инфузия түрінде әр 2 апта сайын бір рет 30-90 минут бойы енгізіледі, одан кейін 5-флюороурацил және фолий қышқылының инфузиясы жүреді.</w:t>
      </w:r>
    </w:p>
    <w:p w14:paraId="31BB0EFA"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Қатар жүретін цетуксимабты дозалау және қабылдау тәсілі туралы ақпарат алу үшін сол дәрілік препараттың қолдану жөніндегі нұсқаулығын қараңыз. Әдетте құрамында иринотекан бар алдыңғы режимнің соңғы циклдерінде болған иринотекан дозасы пайдаланылады. Иринотеканды цетуксимабтың инфузиясы аяқталғаннан кейін 60 минуттан ерте тағайындауға болмайды.</w:t>
      </w:r>
    </w:p>
    <w:p w14:paraId="703A48C3"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Бевацизумабты дозалау мен енгізу тәсілін өнімнің тиісті жалпы сипаттамасынан қараңыз.</w:t>
      </w:r>
    </w:p>
    <w:p w14:paraId="070646A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Біріктіріп пайдаланатын капецитабинді дозалау және қабылдау тәсілі туралы ақпарат алу үшін және капецитабин дәрілік препаратының жалпы сипаттамасының тиісті бөлімдерін қараңыз.</w:t>
      </w:r>
    </w:p>
    <w:p w14:paraId="16D1E245"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Дозаны түзету</w:t>
      </w:r>
    </w:p>
    <w:p w14:paraId="0CE223DF"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Иринотеканды барлық жағымсыз құбылыстар National Cancer Institute–Common Toxicity Criteries (NCI-CTC) шкаласы бойынша 0 немесе 1 </w:t>
      </w:r>
      <w:r w:rsidRPr="00727D0D">
        <w:rPr>
          <w:rFonts w:ascii="Times New Roman" w:eastAsia="Times New Roman" w:hAnsi="Times New Roman"/>
          <w:sz w:val="28"/>
          <w:szCs w:val="32"/>
          <w:vertAlign w:val="superscript"/>
          <w:lang w:val="kk" w:eastAsia="ru-RU"/>
        </w:rPr>
        <w:t xml:space="preserve">-ші </w:t>
      </w:r>
      <w:r w:rsidRPr="00727D0D">
        <w:rPr>
          <w:rFonts w:ascii="Times New Roman" w:eastAsia="Times New Roman" w:hAnsi="Times New Roman"/>
          <w:sz w:val="28"/>
          <w:szCs w:val="32"/>
          <w:lang w:val="kk" w:eastAsia="ru-RU"/>
        </w:rPr>
        <w:lastRenderedPageBreak/>
        <w:t>дәрежесіне дейін жойылғаннан кейін және емдеумен байланысты диарея толық басылғаннан кейін тағайындау керек.</w:t>
      </w:r>
    </w:p>
    <w:p w14:paraId="5A86DB55"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Келесі инфузияларды бастағанда, иринотеканның және 5-флюороурацилдің, ол қолданылатын кезде, дозасын алдыңғы инфузия кезінде байқалған жағымсыз құбылыстардың ең нашар дәрежесіне сәйкес азайту керек. Емдеуді онымен байланысты жағымсыз әсерлер толық жойылғаннан кейін 1-2 аптадан соң қайта бастаған жөн.</w:t>
      </w:r>
    </w:p>
    <w:p w14:paraId="02992400"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Келесі жағымсыз әсерлер болған жағдайда, иринотеканның және 5-флюороурацилдің, ол қолданылатын кезде, дозасын 15-20% азайту керек:</w:t>
      </w:r>
    </w:p>
    <w:p w14:paraId="4806B87D"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-гематологиялық уыттылық (4 дәрежелі нейтропения, фебрильді нейтропения [3-4 дәрежелі нейтропения және 2-4 дәрежелі қызба], тромбоцитопения және лейкопения [4 дәрежелі]);</w:t>
      </w:r>
    </w:p>
    <w:p w14:paraId="44E07EDC"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-гематологиялық емес уыттылық (3-4 дәрежелі).</w:t>
      </w:r>
    </w:p>
    <w:p w14:paraId="736F9A88"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Иринотеканмен біріктіріп қабылдаған кезде, сол препараттың қолдану жөніндегі нұсқаулығына сәйкес цетуксимабтың дозасын түзету жөніндегі нұсқауларды сақтау керек.</w:t>
      </w:r>
    </w:p>
    <w:p w14:paraId="1B8840BB"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Иринотеканмен/5-флюороурацилмен/фолий қышқылымен біріктіріп енгізген кезде сол дәрілік препараттың дозасын түзету туралы ақпарат алу үшін бевацизумаб дәрілік препаратының жалпы сипаттамасын қарау қажет.</w:t>
      </w:r>
    </w:p>
    <w:p w14:paraId="5527FA02"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Капецитабинмен біріктіріп пайдаланған кезде, 65 жастағы және одан асқан пациенттерде капецитабиннің бастапқы дозасын күніне екі рет 800 мг/м</w:t>
      </w:r>
      <w:r w:rsidRPr="00727D0D">
        <w:rPr>
          <w:rFonts w:ascii="Times New Roman" w:eastAsia="Times New Roman" w:hAnsi="Times New Roman"/>
          <w:sz w:val="28"/>
          <w:szCs w:val="32"/>
          <w:vertAlign w:val="superscript"/>
          <w:lang w:val="kk" w:eastAsia="ru-RU"/>
        </w:rPr>
        <w:t>2</w:t>
      </w:r>
      <w:r w:rsidRPr="00727D0D">
        <w:rPr>
          <w:rFonts w:ascii="Times New Roman" w:eastAsia="Times New Roman" w:hAnsi="Times New Roman"/>
          <w:sz w:val="28"/>
          <w:szCs w:val="32"/>
          <w:lang w:val="kk" w:eastAsia="ru-RU"/>
        </w:rPr>
        <w:t xml:space="preserve"> дейін, капецитабин дәрілік препаратының жалпы сипаттамасына сәйкес төмендету ұсынылады. Капецитабин дәрілік препаратының жалпы сипаттамасында көрсетілген біріктірілген режимде дозаларды түзету жөніндегі нұсқауларды да қараңыз.</w:t>
      </w:r>
    </w:p>
    <w:p w14:paraId="79AF01C7" w14:textId="77777777" w:rsidR="008E74CF" w:rsidRPr="00F340D0" w:rsidRDefault="00297CEA" w:rsidP="008E74CF">
      <w:pPr>
        <w:spacing w:after="0" w:line="240" w:lineRule="auto"/>
        <w:jc w:val="both"/>
        <w:rPr>
          <w:rFonts w:ascii="Times New Roman" w:eastAsia="Times New Roman" w:hAnsi="Times New Roman"/>
          <w:i/>
          <w:sz w:val="28"/>
          <w:szCs w:val="32"/>
          <w:lang w:val="kk" w:eastAsia="ru-RU"/>
        </w:rPr>
      </w:pPr>
      <w:r w:rsidRPr="00727D0D">
        <w:rPr>
          <w:rFonts w:ascii="Times New Roman" w:eastAsia="Times New Roman" w:hAnsi="Times New Roman"/>
          <w:i/>
          <w:sz w:val="28"/>
          <w:szCs w:val="32"/>
          <w:lang w:val="kk" w:eastAsia="ru-RU"/>
        </w:rPr>
        <w:t>Ем ұзақтығы</w:t>
      </w:r>
    </w:p>
    <w:p w14:paraId="49E43471" w14:textId="77777777" w:rsidR="008E74CF" w:rsidRPr="00727D0D" w:rsidRDefault="00297CEA" w:rsidP="008E74CF">
      <w:pPr>
        <w:spacing w:after="0" w:line="240" w:lineRule="auto"/>
        <w:jc w:val="both"/>
        <w:rPr>
          <w:rFonts w:ascii="Times New Roman" w:eastAsia="Times New Roman" w:hAnsi="Times New Roman"/>
          <w:sz w:val="28"/>
          <w:szCs w:val="32"/>
          <w:lang w:val="kk-KZ" w:eastAsia="ru-RU"/>
        </w:rPr>
      </w:pPr>
      <w:r w:rsidRPr="00727D0D">
        <w:rPr>
          <w:rFonts w:ascii="Times New Roman" w:eastAsia="Times New Roman" w:hAnsi="Times New Roman"/>
          <w:sz w:val="28"/>
          <w:szCs w:val="32"/>
          <w:lang w:val="kk" w:eastAsia="ru-RU"/>
        </w:rPr>
        <w:t xml:space="preserve">Иринотеканмен емдеуді аурудың объективті өршуі немесе қолайсыз уыттылық басталғанша жалғастыру керек. </w:t>
      </w:r>
    </w:p>
    <w:p w14:paraId="52BCA459" w14:textId="77777777" w:rsidR="008E74CF" w:rsidRPr="00F340D0" w:rsidRDefault="00297CEA" w:rsidP="008E74CF">
      <w:pPr>
        <w:spacing w:after="0" w:line="240" w:lineRule="auto"/>
        <w:jc w:val="both"/>
        <w:rPr>
          <w:rFonts w:ascii="Times New Roman" w:eastAsia="Times New Roman" w:hAnsi="Times New Roman"/>
          <w:b/>
          <w:sz w:val="28"/>
          <w:szCs w:val="32"/>
          <w:lang w:val="kk-KZ" w:eastAsia="ru-RU"/>
        </w:rPr>
      </w:pPr>
      <w:r w:rsidRPr="00727D0D">
        <w:rPr>
          <w:rFonts w:ascii="Times New Roman" w:eastAsia="Times New Roman" w:hAnsi="Times New Roman"/>
          <w:b/>
          <w:sz w:val="28"/>
          <w:szCs w:val="32"/>
          <w:lang w:val="kk" w:eastAsia="ru-RU"/>
        </w:rPr>
        <w:t>Пациенттердің ерекше топтары</w:t>
      </w:r>
    </w:p>
    <w:p w14:paraId="29F9C73F" w14:textId="77777777" w:rsidR="008E74CF" w:rsidRPr="00F340D0" w:rsidRDefault="00297CEA" w:rsidP="008E74CF">
      <w:pPr>
        <w:spacing w:after="0" w:line="240" w:lineRule="auto"/>
        <w:jc w:val="both"/>
        <w:rPr>
          <w:rFonts w:ascii="Times New Roman" w:eastAsia="Microsoft Sans Serif" w:hAnsi="Times New Roman"/>
          <w:bCs/>
          <w:i/>
          <w:sz w:val="28"/>
          <w:szCs w:val="32"/>
          <w:lang w:val="kk-KZ" w:bidi="ru-RU"/>
        </w:rPr>
      </w:pPr>
      <w:bookmarkStart w:id="6" w:name="bookmark19"/>
      <w:r w:rsidRPr="00727D0D">
        <w:rPr>
          <w:rFonts w:ascii="Times New Roman" w:eastAsia="Microsoft Sans Serif" w:hAnsi="Times New Roman"/>
          <w:bCs/>
          <w:i/>
          <w:sz w:val="28"/>
          <w:szCs w:val="32"/>
          <w:lang w:val="kk" w:bidi="ru-RU"/>
        </w:rPr>
        <w:t>Бауыр жеткіліксіздігі бар пациенттер</w:t>
      </w:r>
      <w:bookmarkEnd w:id="6"/>
    </w:p>
    <w:p w14:paraId="6E5D785A" w14:textId="77777777" w:rsidR="008E74CF" w:rsidRPr="00F340D0" w:rsidRDefault="00297CEA" w:rsidP="008E74CF">
      <w:pPr>
        <w:spacing w:after="0" w:line="240" w:lineRule="auto"/>
        <w:jc w:val="both"/>
        <w:rPr>
          <w:rFonts w:ascii="Times New Roman" w:eastAsia="Microsoft Sans Serif" w:hAnsi="Times New Roman"/>
          <w:bCs/>
          <w:i/>
          <w:sz w:val="28"/>
          <w:szCs w:val="32"/>
          <w:lang w:val="kk" w:bidi="ru-RU"/>
        </w:rPr>
      </w:pPr>
      <w:r w:rsidRPr="00727D0D">
        <w:rPr>
          <w:rFonts w:ascii="Times New Roman" w:eastAsia="Microsoft Sans Serif" w:hAnsi="Times New Roman"/>
          <w:bCs/>
          <w:iCs/>
          <w:sz w:val="28"/>
          <w:szCs w:val="32"/>
          <w:lang w:val="kk" w:bidi="ru-RU"/>
        </w:rPr>
        <w:t>Монотерапия: ДДҰ бойынша тиімділік статусы ≤ 2 болатын билирубин деңгейі қалыптың жоғарғы шегінен 3 есеге дейін асып түсетін пациенттерде иринотеканның  бастапқы дозасы белгіленуге тиіс. Гипербилирубинемиясы бар және протромбин уақыты 50%-дан асатын пациенттерде иринотекан клиренсі төмендейді және, демек, гематологиялық уыттылық қаупі жоғарылайды. Осылайша, пациенттердің бұл тобында қанның жалпы талдауына апта сайын мониторинг жүргізу керек.</w:t>
      </w:r>
    </w:p>
    <w:p w14:paraId="12DF04F1"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 Билирубин деңгейі қалыптың жоғарғы шегінен 1,5 есе асып түсетін пациенттерде иринотеканның ұсынылатын дозасы 350 мг/м</w:t>
      </w:r>
      <w:r w:rsidRPr="00727D0D">
        <w:rPr>
          <w:rFonts w:ascii="Times New Roman" w:eastAsia="Microsoft Sans Serif" w:hAnsi="Times New Roman"/>
          <w:bCs/>
          <w:sz w:val="28"/>
          <w:szCs w:val="32"/>
          <w:vertAlign w:val="superscript"/>
          <w:lang w:val="kk" w:bidi="ru-RU"/>
        </w:rPr>
        <w:t>2</w:t>
      </w:r>
      <w:r w:rsidRPr="00727D0D">
        <w:rPr>
          <w:rFonts w:ascii="Times New Roman" w:eastAsia="Microsoft Sans Serif" w:hAnsi="Times New Roman"/>
          <w:bCs/>
          <w:sz w:val="28"/>
          <w:szCs w:val="32"/>
          <w:lang w:val="kk" w:bidi="ru-RU"/>
        </w:rPr>
        <w:t xml:space="preserve"> құрайды.</w:t>
      </w:r>
    </w:p>
    <w:p w14:paraId="10CD48ED"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 Билирубин деңгейі қалыптың жоғарғы шегінен 1,5 –3 есе асып түсетін пациенттерде иринотеканның ұсынылатын дозасы 200 мг/м</w:t>
      </w:r>
      <w:r w:rsidRPr="00727D0D">
        <w:rPr>
          <w:rFonts w:ascii="Times New Roman" w:eastAsia="Microsoft Sans Serif" w:hAnsi="Times New Roman"/>
          <w:bCs/>
          <w:sz w:val="28"/>
          <w:szCs w:val="32"/>
          <w:vertAlign w:val="superscript"/>
          <w:lang w:val="kk" w:bidi="ru-RU"/>
        </w:rPr>
        <w:t>2</w:t>
      </w:r>
      <w:r w:rsidRPr="00727D0D">
        <w:rPr>
          <w:rFonts w:ascii="Times New Roman" w:eastAsia="Microsoft Sans Serif" w:hAnsi="Times New Roman"/>
          <w:bCs/>
          <w:sz w:val="28"/>
          <w:szCs w:val="32"/>
          <w:lang w:val="kk" w:bidi="ru-RU"/>
        </w:rPr>
        <w:t xml:space="preserve"> құрайды.</w:t>
      </w:r>
    </w:p>
    <w:p w14:paraId="2E73687E"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 Билирубин деңгейі қалыптың жоғарғы шегінен 3 есе асып түсетін пациенттерге иринотеканмен ем жүргізбеген жөн.</w:t>
      </w:r>
    </w:p>
    <w:p w14:paraId="1C7C6CB0"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lastRenderedPageBreak/>
        <w:t>Иринотеканды біріктірілген ем құрамында қабылдаған, бауыр функциясы бұзылған пациенттер туралы деректер жоқ.</w:t>
      </w:r>
    </w:p>
    <w:p w14:paraId="6C625747" w14:textId="77777777" w:rsidR="008E74CF" w:rsidRPr="00F340D0" w:rsidRDefault="00297CEA" w:rsidP="008E74CF">
      <w:pPr>
        <w:spacing w:after="0" w:line="240" w:lineRule="auto"/>
        <w:jc w:val="both"/>
        <w:rPr>
          <w:rFonts w:ascii="Times New Roman" w:eastAsia="Microsoft Sans Serif" w:hAnsi="Times New Roman"/>
          <w:bCs/>
          <w:i/>
          <w:sz w:val="28"/>
          <w:szCs w:val="32"/>
          <w:lang w:val="kk" w:bidi="ru-RU"/>
        </w:rPr>
      </w:pPr>
      <w:r w:rsidRPr="00727D0D">
        <w:rPr>
          <w:rFonts w:ascii="Times New Roman" w:eastAsia="Microsoft Sans Serif" w:hAnsi="Times New Roman"/>
          <w:bCs/>
          <w:i/>
          <w:sz w:val="28"/>
          <w:szCs w:val="32"/>
          <w:lang w:val="kk" w:bidi="ru-RU"/>
        </w:rPr>
        <w:t>Бүйрек жеткіліксіздігі бар пациенттер</w:t>
      </w:r>
    </w:p>
    <w:p w14:paraId="13BB399A"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Иринотеканды бүйрек жеткіліксіздігі бар пациенттерге қолдану ұсынылмайды, өйткені пациенттердің бұл тобында препаратты қолдану зерттелген жоқ.</w:t>
      </w:r>
    </w:p>
    <w:p w14:paraId="109D97B3" w14:textId="77777777" w:rsidR="008E74CF" w:rsidRPr="00F340D0" w:rsidRDefault="00297CEA" w:rsidP="008E74CF">
      <w:pPr>
        <w:spacing w:after="0" w:line="240" w:lineRule="auto"/>
        <w:jc w:val="both"/>
        <w:rPr>
          <w:rFonts w:ascii="Times New Roman" w:eastAsia="Microsoft Sans Serif" w:hAnsi="Times New Roman"/>
          <w:bCs/>
          <w:i/>
          <w:sz w:val="28"/>
          <w:szCs w:val="32"/>
          <w:lang w:val="kk" w:bidi="ru-RU"/>
        </w:rPr>
      </w:pPr>
      <w:r w:rsidRPr="00727D0D">
        <w:rPr>
          <w:rFonts w:ascii="Times New Roman" w:eastAsia="Microsoft Sans Serif" w:hAnsi="Times New Roman"/>
          <w:bCs/>
          <w:i/>
          <w:sz w:val="28"/>
          <w:szCs w:val="32"/>
          <w:lang w:val="kk" w:bidi="ru-RU"/>
        </w:rPr>
        <w:t>Егде жастағы пациенттер</w:t>
      </w:r>
    </w:p>
    <w:p w14:paraId="08D15DD6" w14:textId="77777777" w:rsidR="008E74CF" w:rsidRPr="00F340D0" w:rsidRDefault="00297CEA" w:rsidP="008E74CF">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 xml:space="preserve">Егде жастағы адамдарда фармакокинетикалық зерттеулер жүргізілмеген. Дегенмен, бұл популяцияда биологиялық функциялардың төмендеу жиілігі зор болғандықтан, дозаны сақтықпен таңдап алу керек. Мұқият мониторинг қажет. </w:t>
      </w:r>
    </w:p>
    <w:p w14:paraId="630989DF" w14:textId="77777777" w:rsidR="008E74CF" w:rsidRPr="00F340D0" w:rsidRDefault="00297CEA" w:rsidP="008E74CF">
      <w:pPr>
        <w:spacing w:after="0" w:line="240" w:lineRule="auto"/>
        <w:jc w:val="both"/>
        <w:rPr>
          <w:rFonts w:ascii="Times New Roman" w:eastAsia="Microsoft Sans Serif" w:hAnsi="Times New Roman"/>
          <w:bCs/>
          <w:i/>
          <w:sz w:val="28"/>
          <w:szCs w:val="32"/>
          <w:lang w:val="kk" w:bidi="ru-RU"/>
        </w:rPr>
      </w:pPr>
      <w:r w:rsidRPr="00727D0D">
        <w:rPr>
          <w:rFonts w:ascii="Times New Roman" w:eastAsia="Microsoft Sans Serif" w:hAnsi="Times New Roman"/>
          <w:bCs/>
          <w:i/>
          <w:sz w:val="28"/>
          <w:szCs w:val="32"/>
          <w:lang w:val="kk" w:bidi="ru-RU"/>
        </w:rPr>
        <w:t>Педиатриялық популяция</w:t>
      </w:r>
    </w:p>
    <w:p w14:paraId="7FFB1383" w14:textId="77777777" w:rsidR="008E74CF" w:rsidRPr="00F340D0" w:rsidRDefault="00297CEA" w:rsidP="00844CE8">
      <w:pPr>
        <w:spacing w:after="0" w:line="240" w:lineRule="auto"/>
        <w:jc w:val="both"/>
        <w:rPr>
          <w:rFonts w:ascii="Times New Roman" w:eastAsia="Microsoft Sans Serif" w:hAnsi="Times New Roman"/>
          <w:bCs/>
          <w:sz w:val="28"/>
          <w:szCs w:val="32"/>
          <w:lang w:val="kk" w:bidi="ru-RU"/>
        </w:rPr>
      </w:pPr>
      <w:r w:rsidRPr="00727D0D">
        <w:rPr>
          <w:rFonts w:ascii="Times New Roman" w:eastAsia="Microsoft Sans Serif" w:hAnsi="Times New Roman"/>
          <w:bCs/>
          <w:sz w:val="28"/>
          <w:szCs w:val="32"/>
          <w:lang w:val="kk" w:bidi="ru-RU"/>
        </w:rPr>
        <w:t>Қазіргі уақытта иринотеканның балалардағы қауіпсіздігі мен тиімділігі анықталмаған. Деректер жоқ.</w:t>
      </w:r>
    </w:p>
    <w:p w14:paraId="5E28912F" w14:textId="77777777" w:rsidR="0006440F" w:rsidRPr="00F340D0" w:rsidRDefault="00297CEA" w:rsidP="0006440F">
      <w:pPr>
        <w:spacing w:after="0" w:line="240" w:lineRule="auto"/>
        <w:jc w:val="both"/>
        <w:rPr>
          <w:rFonts w:ascii="Times New Roman" w:hAnsi="Times New Roman"/>
          <w:b/>
          <w:i/>
          <w:iCs/>
          <w:sz w:val="28"/>
          <w:szCs w:val="28"/>
          <w:lang w:val="kk" w:bidi="ru-RU"/>
        </w:rPr>
      </w:pPr>
      <w:bookmarkStart w:id="7" w:name="_Hlk63170833"/>
      <w:bookmarkStart w:id="8" w:name="2175220278"/>
      <w:bookmarkEnd w:id="5"/>
      <w:r w:rsidRPr="00727D0D">
        <w:rPr>
          <w:rFonts w:ascii="Times New Roman" w:hAnsi="Times New Roman"/>
          <w:b/>
          <w:i/>
          <w:iCs/>
          <w:sz w:val="28"/>
          <w:szCs w:val="28"/>
          <w:lang w:val="kk" w:bidi="ru-RU"/>
        </w:rPr>
        <w:t>Енгізу әдісі мен жолы</w:t>
      </w:r>
    </w:p>
    <w:p w14:paraId="55569702" w14:textId="77777777" w:rsidR="008E74CF" w:rsidRPr="00F340D0" w:rsidRDefault="00297CEA" w:rsidP="008E74C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Иринотеканның сұйылтылған инфузиялық ерітіндісін шеткері немесе орталық венаға енгізу керек.</w:t>
      </w:r>
    </w:p>
    <w:p w14:paraId="75EC06E2" w14:textId="77777777" w:rsidR="008E74CF" w:rsidRPr="00F340D0" w:rsidRDefault="00297CEA" w:rsidP="008E74CF">
      <w:pPr>
        <w:spacing w:after="0" w:line="240" w:lineRule="auto"/>
        <w:jc w:val="both"/>
        <w:rPr>
          <w:rFonts w:ascii="Times New Roman" w:eastAsia="Times New Roman" w:hAnsi="Times New Roman"/>
          <w:bCs/>
          <w:i/>
          <w:sz w:val="28"/>
          <w:szCs w:val="32"/>
          <w:lang w:val="kk" w:eastAsia="ru-RU"/>
        </w:rPr>
      </w:pPr>
      <w:r w:rsidRPr="00727D0D">
        <w:rPr>
          <w:rFonts w:ascii="Times New Roman" w:eastAsia="Times New Roman" w:hAnsi="Times New Roman"/>
          <w:bCs/>
          <w:i/>
          <w:sz w:val="28"/>
          <w:szCs w:val="32"/>
          <w:lang w:val="kk" w:eastAsia="ru-RU"/>
        </w:rPr>
        <w:t>Инфузияға арналған ерітіндіні дайындау жөніндегі нұсқаулық</w:t>
      </w:r>
    </w:p>
    <w:p w14:paraId="7AD1002A" w14:textId="77777777" w:rsidR="008E74CF" w:rsidRPr="00F340D0" w:rsidRDefault="00297CEA" w:rsidP="0006440F">
      <w:pPr>
        <w:spacing w:after="0" w:line="240" w:lineRule="auto"/>
        <w:jc w:val="both"/>
        <w:rPr>
          <w:rFonts w:ascii="Times New Roman" w:eastAsia="Times New Roman" w:hAnsi="Times New Roman"/>
          <w:sz w:val="28"/>
          <w:szCs w:val="32"/>
          <w:lang w:val="kk" w:eastAsia="ru-RU"/>
        </w:rPr>
      </w:pPr>
      <w:r w:rsidRPr="00727D0D">
        <w:rPr>
          <w:rFonts w:ascii="Times New Roman" w:eastAsia="Times New Roman" w:hAnsi="Times New Roman"/>
          <w:sz w:val="28"/>
          <w:szCs w:val="32"/>
          <w:lang w:val="kk" w:eastAsia="ru-RU"/>
        </w:rPr>
        <w:t xml:space="preserve">Иринотеканның ерітіндісі асептикалық жағдайларда дайындалуға тиіс. 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 Сосын инфузияға арналған ерітіндіні құтыны қолмен айналдыра отырып, мұқият араластырады. </w:t>
      </w:r>
    </w:p>
    <w:bookmarkEnd w:id="7"/>
    <w:p w14:paraId="3F003309" w14:textId="77777777" w:rsidR="005C4B12" w:rsidRPr="00F340D0" w:rsidRDefault="00297CEA" w:rsidP="00844CE8">
      <w:pPr>
        <w:spacing w:after="0" w:line="240" w:lineRule="auto"/>
        <w:jc w:val="both"/>
        <w:rPr>
          <w:rFonts w:ascii="Times New Roman" w:hAnsi="Times New Roman"/>
          <w:i/>
          <w:sz w:val="28"/>
          <w:szCs w:val="28"/>
          <w:lang w:val="kk"/>
        </w:rPr>
      </w:pPr>
      <w:r w:rsidRPr="00727D0D">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05B2A9C7" w14:textId="77777777" w:rsidR="00892CB3" w:rsidRPr="00F340D0" w:rsidRDefault="00297CEA" w:rsidP="00892CB3">
      <w:pPr>
        <w:autoSpaceDE w:val="0"/>
        <w:autoSpaceDN w:val="0"/>
        <w:adjustRightInd w:val="0"/>
        <w:spacing w:after="0" w:line="240" w:lineRule="auto"/>
        <w:jc w:val="both"/>
        <w:rPr>
          <w:rFonts w:ascii="Times New Roman" w:hAnsi="Times New Roman"/>
          <w:color w:val="000000"/>
          <w:sz w:val="28"/>
          <w:szCs w:val="28"/>
          <w:lang w:val="kk"/>
        </w:rPr>
      </w:pPr>
      <w:bookmarkStart w:id="9" w:name="2175220279"/>
      <w:bookmarkStart w:id="10" w:name="_Hlk63170859"/>
      <w:bookmarkEnd w:id="8"/>
      <w:r w:rsidRPr="00727D0D">
        <w:rPr>
          <w:rFonts w:ascii="Times New Roman" w:hAnsi="Times New Roman"/>
          <w:i/>
          <w:iCs/>
          <w:color w:val="000000"/>
          <w:sz w:val="28"/>
          <w:szCs w:val="28"/>
          <w:lang w:val="kk"/>
        </w:rPr>
        <w:t xml:space="preserve">Симптомдары: </w:t>
      </w:r>
      <w:r w:rsidRPr="00727D0D">
        <w:rPr>
          <w:rFonts w:ascii="Times New Roman" w:hAnsi="Times New Roman"/>
          <w:color w:val="000000"/>
          <w:sz w:val="28"/>
          <w:szCs w:val="28"/>
          <w:lang w:val="kk"/>
        </w:rPr>
        <w:t xml:space="preserve">ұсынылған емдік дозадан екі есе асатын дозаларды қабылдаған кезде өліммен аяқталған артық дозалану жағдайлары туралы хабарламалар келіп түскен. Барынша маңызды жағымсыз реакциялар ауыр нейтропения және асқынған диарея болып табылады. </w:t>
      </w:r>
    </w:p>
    <w:p w14:paraId="3227F20A" w14:textId="77777777" w:rsidR="00892CB3" w:rsidRPr="00F340D0" w:rsidRDefault="00297CEA" w:rsidP="00892CB3">
      <w:pPr>
        <w:autoSpaceDE w:val="0"/>
        <w:autoSpaceDN w:val="0"/>
        <w:adjustRightInd w:val="0"/>
        <w:spacing w:after="0" w:line="240" w:lineRule="auto"/>
        <w:jc w:val="both"/>
        <w:rPr>
          <w:rFonts w:ascii="Times New Roman" w:hAnsi="Times New Roman"/>
          <w:color w:val="000000"/>
          <w:sz w:val="28"/>
          <w:szCs w:val="28"/>
          <w:lang w:val="kk"/>
        </w:rPr>
      </w:pPr>
      <w:r w:rsidRPr="00727D0D">
        <w:rPr>
          <w:rFonts w:ascii="Times New Roman" w:hAnsi="Times New Roman"/>
          <w:i/>
          <w:iCs/>
          <w:color w:val="000000"/>
          <w:sz w:val="28"/>
          <w:szCs w:val="28"/>
          <w:lang w:val="kk"/>
        </w:rPr>
        <w:t>Емі:</w:t>
      </w:r>
      <w:r w:rsidRPr="00727D0D">
        <w:rPr>
          <w:rFonts w:ascii="Times New Roman" w:hAnsi="Times New Roman"/>
          <w:color w:val="000000"/>
          <w:sz w:val="28"/>
          <w:szCs w:val="28"/>
          <w:lang w:val="kk"/>
        </w:rPr>
        <w:t xml:space="preserve"> иринотеканмен артық дозаланудың спецификалық антидоты жоқ. Диареядан туындаған сусызданудың, сондай-ақ кез келген инфекциялық асқынудың алдын алу үшін ең жоғарғы демеуші емді бастау керек. </w:t>
      </w:r>
    </w:p>
    <w:bookmarkEnd w:id="9"/>
    <w:bookmarkEnd w:id="10"/>
    <w:p w14:paraId="417D2CB2" w14:textId="77777777" w:rsidR="00A12563" w:rsidRPr="00F340D0" w:rsidRDefault="00A12563" w:rsidP="00844CE8">
      <w:pPr>
        <w:spacing w:after="0" w:line="240" w:lineRule="auto"/>
        <w:jc w:val="both"/>
        <w:rPr>
          <w:rFonts w:ascii="Times New Roman" w:eastAsia="Times New Roman" w:hAnsi="Times New Roman"/>
          <w:b/>
          <w:sz w:val="28"/>
          <w:szCs w:val="28"/>
          <w:lang w:val="kk" w:eastAsia="ru-RU"/>
        </w:rPr>
      </w:pPr>
    </w:p>
    <w:p w14:paraId="7A2871F1" w14:textId="77777777" w:rsidR="001937AD" w:rsidRPr="00F340D0" w:rsidRDefault="00297CEA" w:rsidP="00844CE8">
      <w:pPr>
        <w:spacing w:after="0" w:line="240" w:lineRule="auto"/>
        <w:jc w:val="both"/>
        <w:rPr>
          <w:rFonts w:ascii="Times New Roman" w:hAnsi="Times New Roman"/>
          <w:b/>
          <w:sz w:val="28"/>
          <w:szCs w:val="28"/>
          <w:lang w:val="kk"/>
        </w:rPr>
      </w:pPr>
      <w:bookmarkStart w:id="11" w:name="2175220282"/>
      <w:r w:rsidRPr="00727D0D">
        <w:rPr>
          <w:rFonts w:ascii="Times New Roman" w:hAnsi="Times New Roman"/>
          <w:b/>
          <w:color w:val="000000"/>
          <w:sz w:val="28"/>
          <w:szCs w:val="28"/>
          <w:lang w:val="kk"/>
        </w:rPr>
        <w:t xml:space="preserve">ДП стандартты қолдану кезінде көрініс беретін </w:t>
      </w:r>
      <w:r w:rsidRPr="00727D0D">
        <w:rPr>
          <w:rFonts w:ascii="Times New Roman" w:eastAsia="Times New Roman" w:hAnsi="Times New Roman"/>
          <w:b/>
          <w:sz w:val="28"/>
          <w:szCs w:val="28"/>
          <w:lang w:val="kk" w:eastAsia="ru-RU"/>
        </w:rPr>
        <w:t>жағымсыз реакциялар сипаттамасы</w:t>
      </w:r>
      <w:r w:rsidRPr="00727D0D">
        <w:rPr>
          <w:rFonts w:ascii="Times New Roman" w:hAnsi="Times New Roman"/>
          <w:b/>
          <w:color w:val="000000"/>
          <w:sz w:val="28"/>
          <w:szCs w:val="28"/>
          <w:lang w:val="kk"/>
        </w:rPr>
        <w:t xml:space="preserve"> және осы жағдайда қабылдау керек шаралар  </w:t>
      </w:r>
    </w:p>
    <w:p w14:paraId="7CA81D1D" w14:textId="77777777" w:rsidR="008E74CF" w:rsidRPr="00F340D0" w:rsidRDefault="00297CEA" w:rsidP="008E74CF">
      <w:pPr>
        <w:spacing w:after="0" w:line="240" w:lineRule="auto"/>
        <w:jc w:val="both"/>
        <w:rPr>
          <w:rFonts w:ascii="Times New Roman" w:hAnsi="Times New Roman"/>
          <w:sz w:val="28"/>
          <w:szCs w:val="32"/>
          <w:lang w:val="kk"/>
        </w:rPr>
      </w:pPr>
      <w:bookmarkStart w:id="12" w:name="_Hlk63170898"/>
      <w:bookmarkEnd w:id="11"/>
      <w:r w:rsidRPr="00727D0D">
        <w:rPr>
          <w:rFonts w:ascii="Times New Roman" w:hAnsi="Times New Roman"/>
          <w:sz w:val="28"/>
          <w:szCs w:val="32"/>
          <w:lang w:val="kk"/>
        </w:rPr>
        <w:t xml:space="preserve">Жағымсыз реакциялар туралы деректер метастаздық колоректальді обырды зерттеу барысында кеңінен жинақталды; олардың жиілігі төменде келтірілген. Басқа көрсетілімдер кезіндегі жағымсыз реакциялар колоректальді обыр кезіндегі осындайларға ұқсас болады деп күтіледі. </w:t>
      </w:r>
    </w:p>
    <w:p w14:paraId="5871D765"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Иринотеканның ең жиі (≥ 1/10) жағымсыз реакциялары кешеуілдеген диарея (енгізгеннен кейін 24 сағаттан астам уақыттан соң пайда болатын) және нейтропенияны, анемияны және тромбоцитопенияны қоса, қанайналымның бұзылулары болып табылады.</w:t>
      </w:r>
    </w:p>
    <w:p w14:paraId="22613342" w14:textId="77777777" w:rsidR="008E74CF" w:rsidRPr="00F340D0" w:rsidRDefault="00297CEA" w:rsidP="008E74CF">
      <w:pPr>
        <w:spacing w:after="0" w:line="240" w:lineRule="auto"/>
        <w:jc w:val="both"/>
        <w:rPr>
          <w:rFonts w:ascii="Times New Roman" w:hAnsi="Times New Roman"/>
          <w:sz w:val="28"/>
          <w:szCs w:val="32"/>
          <w:lang w:val="kk"/>
        </w:rPr>
      </w:pPr>
      <w:r w:rsidRPr="00521354">
        <w:rPr>
          <w:rFonts w:ascii="Times New Roman" w:hAnsi="Times New Roman"/>
          <w:sz w:val="28"/>
          <w:szCs w:val="32"/>
          <w:lang w:val="kk"/>
        </w:rPr>
        <w:lastRenderedPageBreak/>
        <w:t>Нейтропения дозаны шектейтін уытты әсер болып табылады. Нейтропения жинақталатын емес, қайтымды болып табылды; химиялық ем кезінде қан жасушалары санының ең аз деңгейіне дейінгі уақыт медианасы монотерапияда немесе біріктірілген емде қолдануға байланыссыз 8 күнді құрады.</w:t>
      </w:r>
    </w:p>
    <w:p w14:paraId="05F81E3B"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Ауыр транзиторлық жедел холинергиялық синдром өте жиі байқалды. Негізгі симптомдары ерте диареямен және иринотекан инфузиясы кезінде немесе одан кейін алғашқы 24 сағаттың ішінде туындайтын іштің ауыруы, тершеңдік, миоз және сілекейдің көп бөлінуі сияқты басқа оқиғалармен қатар жүрді. Аталған симптомдар атропин қабылдағаннан кейін кетеді.</w:t>
      </w:r>
    </w:p>
    <w:p w14:paraId="1AAC7A34" w14:textId="77777777" w:rsidR="008E74CF" w:rsidRPr="00F340D0" w:rsidRDefault="00297CEA" w:rsidP="008E74CF">
      <w:pPr>
        <w:spacing w:after="0" w:line="240" w:lineRule="auto"/>
        <w:jc w:val="both"/>
        <w:rPr>
          <w:rFonts w:ascii="Times New Roman" w:hAnsi="Times New Roman"/>
          <w:i/>
          <w:iCs/>
          <w:sz w:val="28"/>
          <w:szCs w:val="32"/>
          <w:lang w:val="kk"/>
        </w:rPr>
      </w:pPr>
      <w:r w:rsidRPr="00727D0D">
        <w:rPr>
          <w:rFonts w:ascii="Times New Roman" w:hAnsi="Times New Roman"/>
          <w:i/>
          <w:iCs/>
          <w:sz w:val="28"/>
          <w:szCs w:val="32"/>
          <w:lang w:val="kk"/>
        </w:rPr>
        <w:t>Монотерапия</w:t>
      </w:r>
    </w:p>
    <w:p w14:paraId="65D8DC47" w14:textId="77777777" w:rsidR="008E74CF" w:rsidRPr="00F340D0" w:rsidRDefault="00297CEA" w:rsidP="008E74CF">
      <w:pPr>
        <w:spacing w:after="0" w:line="240" w:lineRule="auto"/>
        <w:jc w:val="both"/>
        <w:rPr>
          <w:rFonts w:ascii="Times New Roman" w:hAnsi="Times New Roman"/>
          <w:i/>
          <w:iCs/>
          <w:sz w:val="28"/>
          <w:szCs w:val="32"/>
          <w:lang w:val="kk"/>
        </w:rPr>
      </w:pPr>
      <w:r w:rsidRPr="00727D0D">
        <w:rPr>
          <w:rFonts w:ascii="Times New Roman" w:hAnsi="Times New Roman"/>
          <w:sz w:val="28"/>
          <w:szCs w:val="32"/>
          <w:lang w:val="kk"/>
        </w:rPr>
        <w:t xml:space="preserve">Иринотекан енгізумен байланысты болуы мүмкін немесе ықтимал деп саналатын келесі жағымсыз реакциялар 765 пациентте монотерапияда 350 мг/м² ұсынылған дозада тіркелді. Әрбір жиілік тобында жағымсыз реакциялар қауіптіліктің кему тәртібімен берілген. Жиіліктері былай анықталады: </w:t>
      </w:r>
      <w:r w:rsidRPr="00727D0D">
        <w:rPr>
          <w:rFonts w:ascii="Times New Roman" w:hAnsi="Times New Roman"/>
          <w:i/>
          <w:iCs/>
          <w:sz w:val="28"/>
          <w:szCs w:val="32"/>
          <w:lang w:val="kk"/>
        </w:rPr>
        <w:t>өте жиі (≥ 1/10), жиі (≥ 1/100 &lt; 1/10 дейін), жиі емес (≥ 1/1000 - &lt; 1/100 дейін), сирек (≥ 1/10 000 - &lt; 1 / 1000 дейін) және өте сирек (&lt;1/10 000).</w:t>
      </w:r>
    </w:p>
    <w:p w14:paraId="4B878342" w14:textId="77777777" w:rsidR="008E74CF" w:rsidRPr="00F340D0" w:rsidRDefault="008E74CF" w:rsidP="008E74CF">
      <w:pPr>
        <w:spacing w:after="0" w:line="240" w:lineRule="auto"/>
        <w:jc w:val="both"/>
        <w:rPr>
          <w:rFonts w:ascii="Times New Roman" w:hAnsi="Times New Roman"/>
          <w:sz w:val="28"/>
          <w:szCs w:val="32"/>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987"/>
        <w:gridCol w:w="3054"/>
      </w:tblGrid>
      <w:tr w:rsidR="00BB1157" w:rsidRPr="00A3603E" w14:paraId="68128DAC" w14:textId="77777777" w:rsidTr="00A2324B">
        <w:tc>
          <w:tcPr>
            <w:tcW w:w="9287" w:type="dxa"/>
            <w:gridSpan w:val="3"/>
            <w:shd w:val="clear" w:color="auto" w:fill="auto"/>
          </w:tcPr>
          <w:p w14:paraId="28C3514C" w14:textId="77777777" w:rsidR="008E74CF" w:rsidRPr="00F340D0" w:rsidRDefault="00297CEA" w:rsidP="00A2324B">
            <w:pPr>
              <w:spacing w:after="0" w:line="240" w:lineRule="auto"/>
              <w:jc w:val="both"/>
              <w:rPr>
                <w:rFonts w:ascii="Times New Roman" w:hAnsi="Times New Roman"/>
                <w:b/>
                <w:bCs/>
                <w:sz w:val="28"/>
                <w:szCs w:val="28"/>
                <w:lang w:val="kk"/>
              </w:rPr>
            </w:pPr>
            <w:r w:rsidRPr="00727D0D">
              <w:rPr>
                <w:rFonts w:ascii="Times New Roman" w:hAnsi="Times New Roman"/>
                <w:b/>
                <w:bCs/>
                <w:sz w:val="28"/>
                <w:szCs w:val="28"/>
                <w:lang w:val="kk"/>
              </w:rPr>
              <w:t>Иринотеканды монотерапияда (әр 3 апта сайын 350 мг/м</w:t>
            </w:r>
            <w:r w:rsidRPr="00727D0D">
              <w:rPr>
                <w:rFonts w:ascii="Times New Roman" w:hAnsi="Times New Roman"/>
                <w:b/>
                <w:bCs/>
                <w:sz w:val="28"/>
                <w:szCs w:val="28"/>
                <w:vertAlign w:val="superscript"/>
                <w:lang w:val="kk"/>
              </w:rPr>
              <w:t>2</w:t>
            </w:r>
            <w:r w:rsidRPr="00727D0D">
              <w:rPr>
                <w:rFonts w:ascii="Times New Roman" w:hAnsi="Times New Roman"/>
                <w:b/>
                <w:bCs/>
                <w:sz w:val="28"/>
                <w:szCs w:val="28"/>
                <w:lang w:val="kk"/>
              </w:rPr>
              <w:t>) пайдаланғанда тіркелген жағымсыз реакциялар</w:t>
            </w:r>
          </w:p>
        </w:tc>
      </w:tr>
      <w:tr w:rsidR="00BB1157" w14:paraId="78C2ADE3" w14:textId="77777777" w:rsidTr="00A2324B">
        <w:tc>
          <w:tcPr>
            <w:tcW w:w="3095" w:type="dxa"/>
            <w:shd w:val="clear" w:color="auto" w:fill="auto"/>
          </w:tcPr>
          <w:p w14:paraId="2AD2011D" w14:textId="77777777" w:rsidR="008E74CF" w:rsidRPr="00F340D0" w:rsidRDefault="00297CEA" w:rsidP="00A2324B">
            <w:pPr>
              <w:spacing w:after="0" w:line="240" w:lineRule="auto"/>
              <w:jc w:val="both"/>
              <w:rPr>
                <w:rFonts w:ascii="Times New Roman" w:hAnsi="Times New Roman"/>
                <w:sz w:val="28"/>
                <w:szCs w:val="28"/>
                <w:lang w:val="kk"/>
              </w:rPr>
            </w:pPr>
            <w:r w:rsidRPr="00727D0D">
              <w:rPr>
                <w:rFonts w:ascii="Times New Roman" w:hAnsi="Times New Roman"/>
                <w:sz w:val="28"/>
                <w:szCs w:val="28"/>
                <w:lang w:val="kk"/>
              </w:rPr>
              <w:t>MedDRA бойынша жүйелік-ағзалық жіктеу</w:t>
            </w:r>
          </w:p>
        </w:tc>
        <w:tc>
          <w:tcPr>
            <w:tcW w:w="3096" w:type="dxa"/>
            <w:shd w:val="clear" w:color="auto" w:fill="auto"/>
          </w:tcPr>
          <w:p w14:paraId="55817227" w14:textId="77777777" w:rsidR="008E74CF" w:rsidRPr="00727D0D" w:rsidRDefault="00297CEA" w:rsidP="00A2324B">
            <w:pPr>
              <w:spacing w:after="0" w:line="240" w:lineRule="auto"/>
              <w:jc w:val="both"/>
              <w:rPr>
                <w:rFonts w:ascii="Times New Roman" w:hAnsi="Times New Roman"/>
                <w:sz w:val="28"/>
                <w:szCs w:val="28"/>
                <w:lang w:val="kk-KZ"/>
              </w:rPr>
            </w:pPr>
            <w:r w:rsidRPr="00727D0D">
              <w:rPr>
                <w:rFonts w:ascii="Times New Roman" w:hAnsi="Times New Roman"/>
                <w:sz w:val="28"/>
                <w:szCs w:val="28"/>
                <w:lang w:val="kk"/>
              </w:rPr>
              <w:t>Туындау жиілігі</w:t>
            </w:r>
          </w:p>
        </w:tc>
        <w:tc>
          <w:tcPr>
            <w:tcW w:w="3096" w:type="dxa"/>
            <w:shd w:val="clear" w:color="auto" w:fill="auto"/>
          </w:tcPr>
          <w:p w14:paraId="620519FB" w14:textId="77777777" w:rsidR="008E74CF" w:rsidRPr="00727D0D" w:rsidRDefault="00297CEA" w:rsidP="00A2324B">
            <w:pPr>
              <w:spacing w:after="0" w:line="240" w:lineRule="auto"/>
              <w:jc w:val="both"/>
              <w:rPr>
                <w:rFonts w:ascii="Times New Roman" w:hAnsi="Times New Roman"/>
                <w:bCs/>
                <w:sz w:val="28"/>
                <w:szCs w:val="28"/>
              </w:rPr>
            </w:pPr>
            <w:r w:rsidRPr="00727D0D">
              <w:rPr>
                <w:rFonts w:ascii="Times New Roman" w:hAnsi="Times New Roman"/>
                <w:bCs/>
                <w:sz w:val="28"/>
                <w:szCs w:val="28"/>
                <w:lang w:val="kk"/>
              </w:rPr>
              <w:t>Жағымсыз реакциялар</w:t>
            </w:r>
          </w:p>
        </w:tc>
      </w:tr>
      <w:tr w:rsidR="00BB1157" w14:paraId="21C8202A" w14:textId="77777777" w:rsidTr="00A2324B">
        <w:tc>
          <w:tcPr>
            <w:tcW w:w="3095" w:type="dxa"/>
            <w:shd w:val="clear" w:color="auto" w:fill="auto"/>
          </w:tcPr>
          <w:p w14:paraId="5F95D96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Инфекциялар мен инвазиялар</w:t>
            </w:r>
          </w:p>
        </w:tc>
        <w:tc>
          <w:tcPr>
            <w:tcW w:w="3096" w:type="dxa"/>
            <w:shd w:val="clear" w:color="auto" w:fill="auto"/>
          </w:tcPr>
          <w:p w14:paraId="12C1E25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3314031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Инфекция</w:t>
            </w:r>
          </w:p>
        </w:tc>
      </w:tr>
      <w:tr w:rsidR="00BB1157" w14:paraId="68CF2146" w14:textId="77777777" w:rsidTr="00A2324B">
        <w:trPr>
          <w:trHeight w:val="174"/>
        </w:trPr>
        <w:tc>
          <w:tcPr>
            <w:tcW w:w="3095" w:type="dxa"/>
            <w:vMerge w:val="restart"/>
            <w:shd w:val="clear" w:color="auto" w:fill="auto"/>
          </w:tcPr>
          <w:p w14:paraId="1586C0A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 және лимфа жүйесі тарапынан бұзылулар</w:t>
            </w:r>
          </w:p>
        </w:tc>
        <w:tc>
          <w:tcPr>
            <w:tcW w:w="3096" w:type="dxa"/>
            <w:shd w:val="clear" w:color="auto" w:fill="auto"/>
          </w:tcPr>
          <w:p w14:paraId="6D9A896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C955AF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Нейтропения</w:t>
            </w:r>
          </w:p>
        </w:tc>
      </w:tr>
      <w:tr w:rsidR="00BB1157" w14:paraId="02F8C39B" w14:textId="77777777" w:rsidTr="00A2324B">
        <w:trPr>
          <w:trHeight w:val="172"/>
        </w:trPr>
        <w:tc>
          <w:tcPr>
            <w:tcW w:w="3095" w:type="dxa"/>
            <w:vMerge/>
            <w:shd w:val="clear" w:color="auto" w:fill="auto"/>
          </w:tcPr>
          <w:p w14:paraId="6D3C6413"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0D8317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40EDEF0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Анемия</w:t>
            </w:r>
          </w:p>
        </w:tc>
      </w:tr>
      <w:tr w:rsidR="00BB1157" w14:paraId="4728A40B" w14:textId="77777777" w:rsidTr="00A2324B">
        <w:trPr>
          <w:trHeight w:val="172"/>
        </w:trPr>
        <w:tc>
          <w:tcPr>
            <w:tcW w:w="3095" w:type="dxa"/>
            <w:vMerge/>
            <w:shd w:val="clear" w:color="auto" w:fill="auto"/>
          </w:tcPr>
          <w:p w14:paraId="1C74CAC8"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7941A5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17C3A1F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Тромбоцитопения</w:t>
            </w:r>
          </w:p>
        </w:tc>
      </w:tr>
      <w:tr w:rsidR="00BB1157" w14:paraId="15497EE5" w14:textId="77777777" w:rsidTr="00A2324B">
        <w:trPr>
          <w:trHeight w:val="172"/>
        </w:trPr>
        <w:tc>
          <w:tcPr>
            <w:tcW w:w="3095" w:type="dxa"/>
            <w:vMerge/>
            <w:shd w:val="clear" w:color="auto" w:fill="auto"/>
          </w:tcPr>
          <w:p w14:paraId="7D2A1FB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5410D5DA"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24E8E29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Фебрильді нейтропения</w:t>
            </w:r>
          </w:p>
        </w:tc>
      </w:tr>
      <w:tr w:rsidR="00BB1157" w14:paraId="32A581B7" w14:textId="77777777" w:rsidTr="00A2324B">
        <w:tc>
          <w:tcPr>
            <w:tcW w:w="3095" w:type="dxa"/>
            <w:shd w:val="clear" w:color="auto" w:fill="auto"/>
          </w:tcPr>
          <w:p w14:paraId="3F95C7F8"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Зат алмасу және тамақтану бұзылулары</w:t>
            </w:r>
          </w:p>
        </w:tc>
        <w:tc>
          <w:tcPr>
            <w:tcW w:w="3096" w:type="dxa"/>
            <w:shd w:val="clear" w:color="auto" w:fill="auto"/>
          </w:tcPr>
          <w:p w14:paraId="7025587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63BF081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Тәбеттің төмендеуі</w:t>
            </w:r>
          </w:p>
        </w:tc>
      </w:tr>
      <w:tr w:rsidR="00BB1157" w14:paraId="7BB11891" w14:textId="77777777" w:rsidTr="00A2324B">
        <w:tc>
          <w:tcPr>
            <w:tcW w:w="3095" w:type="dxa"/>
            <w:shd w:val="clear" w:color="auto" w:fill="auto"/>
          </w:tcPr>
          <w:p w14:paraId="126E27E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Жүйке жүйесінің бұзылуы</w:t>
            </w:r>
          </w:p>
        </w:tc>
        <w:tc>
          <w:tcPr>
            <w:tcW w:w="3096" w:type="dxa"/>
            <w:shd w:val="clear" w:color="auto" w:fill="auto"/>
          </w:tcPr>
          <w:p w14:paraId="26FD2A9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9570D9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Холинергиялық синдром</w:t>
            </w:r>
          </w:p>
        </w:tc>
      </w:tr>
      <w:tr w:rsidR="00BB1157" w14:paraId="079B9572" w14:textId="77777777" w:rsidTr="00A2324B">
        <w:trPr>
          <w:trHeight w:val="92"/>
        </w:trPr>
        <w:tc>
          <w:tcPr>
            <w:tcW w:w="3095" w:type="dxa"/>
            <w:vMerge w:val="restart"/>
            <w:shd w:val="clear" w:color="auto" w:fill="auto"/>
          </w:tcPr>
          <w:p w14:paraId="5408742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Асқазан-ішек бұзылыстары</w:t>
            </w:r>
          </w:p>
        </w:tc>
        <w:tc>
          <w:tcPr>
            <w:tcW w:w="3096" w:type="dxa"/>
            <w:shd w:val="clear" w:color="auto" w:fill="auto"/>
          </w:tcPr>
          <w:p w14:paraId="635CD13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AD2E4A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Диарея</w:t>
            </w:r>
          </w:p>
        </w:tc>
      </w:tr>
      <w:tr w:rsidR="00BB1157" w14:paraId="52EBD4C2" w14:textId="77777777" w:rsidTr="00A2324B">
        <w:trPr>
          <w:trHeight w:val="92"/>
        </w:trPr>
        <w:tc>
          <w:tcPr>
            <w:tcW w:w="3095" w:type="dxa"/>
            <w:vMerge/>
            <w:shd w:val="clear" w:color="auto" w:fill="auto"/>
          </w:tcPr>
          <w:p w14:paraId="76C0ECBC"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6246DC9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3893CB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Құсу</w:t>
            </w:r>
          </w:p>
        </w:tc>
      </w:tr>
      <w:tr w:rsidR="00BB1157" w14:paraId="3A446430" w14:textId="77777777" w:rsidTr="00A2324B">
        <w:trPr>
          <w:trHeight w:val="92"/>
        </w:trPr>
        <w:tc>
          <w:tcPr>
            <w:tcW w:w="3095" w:type="dxa"/>
            <w:vMerge/>
            <w:shd w:val="clear" w:color="auto" w:fill="auto"/>
          </w:tcPr>
          <w:p w14:paraId="3C4DF5DC"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5DDDB88"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B3BA56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Жүрек айну</w:t>
            </w:r>
          </w:p>
        </w:tc>
      </w:tr>
      <w:tr w:rsidR="00BB1157" w14:paraId="34243F82" w14:textId="77777777" w:rsidTr="00A2324B">
        <w:trPr>
          <w:trHeight w:val="92"/>
        </w:trPr>
        <w:tc>
          <w:tcPr>
            <w:tcW w:w="3095" w:type="dxa"/>
            <w:vMerge/>
            <w:shd w:val="clear" w:color="auto" w:fill="auto"/>
          </w:tcPr>
          <w:p w14:paraId="6CC45948"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3A202D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3952AF8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Іштің ауыруы</w:t>
            </w:r>
          </w:p>
        </w:tc>
      </w:tr>
      <w:tr w:rsidR="00BB1157" w14:paraId="7DD96344" w14:textId="77777777" w:rsidTr="00A2324B">
        <w:trPr>
          <w:trHeight w:val="92"/>
        </w:trPr>
        <w:tc>
          <w:tcPr>
            <w:tcW w:w="3095" w:type="dxa"/>
            <w:vMerge/>
            <w:shd w:val="clear" w:color="auto" w:fill="auto"/>
          </w:tcPr>
          <w:p w14:paraId="6DA52EEC"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506059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0312A89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 қату</w:t>
            </w:r>
          </w:p>
        </w:tc>
      </w:tr>
      <w:tr w:rsidR="00BB1157" w14:paraId="042ADAE1" w14:textId="77777777" w:rsidTr="00A2324B">
        <w:tc>
          <w:tcPr>
            <w:tcW w:w="3095" w:type="dxa"/>
            <w:shd w:val="clear" w:color="auto" w:fill="auto"/>
          </w:tcPr>
          <w:p w14:paraId="17C2286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lastRenderedPageBreak/>
              <w:t>Тері жабындары мен теріасты шелмайы тарапынан бұзылулар:</w:t>
            </w:r>
          </w:p>
        </w:tc>
        <w:tc>
          <w:tcPr>
            <w:tcW w:w="3096" w:type="dxa"/>
            <w:shd w:val="clear" w:color="auto" w:fill="auto"/>
          </w:tcPr>
          <w:p w14:paraId="0E95F72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2A36676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Алопеция (қайтымды)</w:t>
            </w:r>
          </w:p>
        </w:tc>
      </w:tr>
      <w:tr w:rsidR="00BB1157" w14:paraId="7595D56A" w14:textId="77777777" w:rsidTr="00A2324B">
        <w:trPr>
          <w:trHeight w:val="154"/>
        </w:trPr>
        <w:tc>
          <w:tcPr>
            <w:tcW w:w="3095" w:type="dxa"/>
            <w:vMerge w:val="restart"/>
            <w:shd w:val="clear" w:color="auto" w:fill="auto"/>
          </w:tcPr>
          <w:p w14:paraId="7B1B9D2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Жалпы бұзылыстар және енгізген жердегі жағдайлар</w:t>
            </w:r>
          </w:p>
        </w:tc>
        <w:tc>
          <w:tcPr>
            <w:tcW w:w="3096" w:type="dxa"/>
            <w:shd w:val="clear" w:color="auto" w:fill="auto"/>
          </w:tcPr>
          <w:p w14:paraId="6D6838C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2572E3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Шырышты қабықтың қабынуы</w:t>
            </w:r>
          </w:p>
        </w:tc>
      </w:tr>
      <w:tr w:rsidR="00BB1157" w14:paraId="672F7945" w14:textId="77777777" w:rsidTr="00A2324B">
        <w:trPr>
          <w:trHeight w:val="153"/>
        </w:trPr>
        <w:tc>
          <w:tcPr>
            <w:tcW w:w="3095" w:type="dxa"/>
            <w:vMerge/>
            <w:shd w:val="clear" w:color="auto" w:fill="auto"/>
          </w:tcPr>
          <w:p w14:paraId="10293BF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8EF5C1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31AD7A0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Қызба</w:t>
            </w:r>
          </w:p>
        </w:tc>
      </w:tr>
      <w:tr w:rsidR="00BB1157" w14:paraId="36E95242" w14:textId="77777777" w:rsidTr="00A2324B">
        <w:trPr>
          <w:trHeight w:val="153"/>
        </w:trPr>
        <w:tc>
          <w:tcPr>
            <w:tcW w:w="3095" w:type="dxa"/>
            <w:vMerge/>
            <w:shd w:val="clear" w:color="auto" w:fill="auto"/>
          </w:tcPr>
          <w:p w14:paraId="234C294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3BD8612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713351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Астения</w:t>
            </w:r>
          </w:p>
        </w:tc>
      </w:tr>
      <w:tr w:rsidR="00BB1157" w14:paraId="0FEF972F" w14:textId="77777777" w:rsidTr="00A2324B">
        <w:trPr>
          <w:trHeight w:val="59"/>
        </w:trPr>
        <w:tc>
          <w:tcPr>
            <w:tcW w:w="3095" w:type="dxa"/>
            <w:vMerge w:val="restart"/>
            <w:shd w:val="clear" w:color="auto" w:fill="auto"/>
          </w:tcPr>
          <w:p w14:paraId="300574C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Зертханалық деректер</w:t>
            </w:r>
          </w:p>
        </w:tc>
        <w:tc>
          <w:tcPr>
            <w:tcW w:w="3096" w:type="dxa"/>
            <w:shd w:val="clear" w:color="auto" w:fill="auto"/>
          </w:tcPr>
          <w:p w14:paraId="5C5E0F7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1F836CB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Қандағы креатининнің жоғарылауы</w:t>
            </w:r>
          </w:p>
        </w:tc>
      </w:tr>
      <w:tr w:rsidR="00BB1157" w14:paraId="67403E28" w14:textId="77777777" w:rsidTr="00A2324B">
        <w:trPr>
          <w:trHeight w:val="57"/>
        </w:trPr>
        <w:tc>
          <w:tcPr>
            <w:tcW w:w="3095" w:type="dxa"/>
            <w:vMerge/>
            <w:shd w:val="clear" w:color="auto" w:fill="auto"/>
          </w:tcPr>
          <w:p w14:paraId="75879799"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6DCFCB4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57B5746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АЛТ және АСТ көрсеткіштерінің жоғарылауы</w:t>
            </w:r>
          </w:p>
        </w:tc>
      </w:tr>
      <w:tr w:rsidR="00BB1157" w14:paraId="18FB9058" w14:textId="77777777" w:rsidTr="00A2324B">
        <w:trPr>
          <w:trHeight w:val="57"/>
        </w:trPr>
        <w:tc>
          <w:tcPr>
            <w:tcW w:w="3095" w:type="dxa"/>
            <w:vMerge/>
            <w:shd w:val="clear" w:color="auto" w:fill="auto"/>
          </w:tcPr>
          <w:p w14:paraId="269D661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F6246D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7845633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Қандағы билирубиннің жоғарылауы</w:t>
            </w:r>
          </w:p>
        </w:tc>
      </w:tr>
      <w:tr w:rsidR="00BB1157" w14:paraId="32131F7B" w14:textId="77777777" w:rsidTr="00A2324B">
        <w:trPr>
          <w:trHeight w:val="57"/>
        </w:trPr>
        <w:tc>
          <w:tcPr>
            <w:tcW w:w="3095" w:type="dxa"/>
            <w:vMerge/>
            <w:shd w:val="clear" w:color="auto" w:fill="auto"/>
          </w:tcPr>
          <w:p w14:paraId="05DD3A5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313E23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7CD9295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Қандағы СФ жоғарылауы</w:t>
            </w:r>
          </w:p>
        </w:tc>
      </w:tr>
    </w:tbl>
    <w:p w14:paraId="22AB92B8" w14:textId="77777777" w:rsidR="008E74CF" w:rsidRPr="00727D0D" w:rsidRDefault="00297CEA" w:rsidP="008E74CF">
      <w:pPr>
        <w:spacing w:after="0" w:line="240" w:lineRule="auto"/>
        <w:jc w:val="both"/>
        <w:rPr>
          <w:rFonts w:ascii="Times New Roman" w:hAnsi="Times New Roman"/>
          <w:i/>
          <w:iCs/>
          <w:sz w:val="28"/>
          <w:szCs w:val="32"/>
        </w:rPr>
      </w:pPr>
      <w:r w:rsidRPr="00727D0D">
        <w:rPr>
          <w:rFonts w:ascii="Times New Roman" w:hAnsi="Times New Roman"/>
          <w:i/>
          <w:iCs/>
          <w:sz w:val="28"/>
          <w:szCs w:val="32"/>
          <w:lang w:val="kk"/>
        </w:rPr>
        <w:t>Монотерапия кезіндегі жеке жағымсыз реакциялардың сипаттамасы</w:t>
      </w:r>
    </w:p>
    <w:p w14:paraId="2B2858F0"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Диареяны емдеу жөніндегі нұсқауларды орындаған 20% пациенттерде асқынған диарея байқалды. Баға берілген циклдерден 14%-да асқынған диарея байқалды. Сұйық нәжістің басталуының орташа уақыты инфузиядан кейінгі 5-ші күнге келеді.</w:t>
      </w:r>
    </w:p>
    <w:p w14:paraId="45E8BC97"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Ауыр түрдегі құсу және жүрек айну құсуға қарсы дәрілерді алған шамамен 10% пациенттерде байқалды.</w:t>
      </w:r>
    </w:p>
    <w:p w14:paraId="0C97B8B0" w14:textId="77777777" w:rsidR="008E74CF" w:rsidRPr="00727D0D" w:rsidRDefault="00297CEA" w:rsidP="008E74CF">
      <w:pPr>
        <w:spacing w:after="0" w:line="240" w:lineRule="auto"/>
        <w:jc w:val="both"/>
        <w:rPr>
          <w:rFonts w:ascii="Times New Roman" w:hAnsi="Times New Roman"/>
          <w:sz w:val="28"/>
          <w:szCs w:val="32"/>
        </w:rPr>
      </w:pPr>
      <w:r w:rsidRPr="00727D0D">
        <w:rPr>
          <w:rFonts w:ascii="Times New Roman" w:hAnsi="Times New Roman"/>
          <w:sz w:val="28"/>
          <w:szCs w:val="32"/>
          <w:lang w:val="kk"/>
        </w:rPr>
        <w:t>Іш қату 10%-дан аз пациенттерде байқалды.</w:t>
      </w:r>
    </w:p>
    <w:p w14:paraId="3394E485"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Нейтропения пациенттердің 78,7%-да білінді, ауыр түрдегісі (нейтрофилдер саны &lt; 500 жасуша/мм</w:t>
      </w:r>
      <w:r w:rsidRPr="00727D0D">
        <w:rPr>
          <w:rFonts w:ascii="Times New Roman" w:hAnsi="Times New Roman"/>
          <w:sz w:val="28"/>
          <w:szCs w:val="32"/>
          <w:vertAlign w:val="superscript"/>
          <w:lang w:val="kk"/>
        </w:rPr>
        <w:t>3</w:t>
      </w:r>
      <w:r w:rsidRPr="00727D0D">
        <w:rPr>
          <w:rFonts w:ascii="Times New Roman" w:hAnsi="Times New Roman"/>
          <w:sz w:val="28"/>
          <w:szCs w:val="32"/>
          <w:lang w:val="kk"/>
        </w:rPr>
        <w:t>), пациенттердің 22,6%-да байқалды. Бағалауға болатын циклдерден, нейтрофилдер саны &lt; 500 жасуша/мм³ болатын 7,6%-ды қоса алғанда, 18%-да нейтрофилдер саны 1000 жасуша/мм³ аз болды. Толық сауығуға әдетте 22-ші күнде жетті.</w:t>
      </w:r>
    </w:p>
    <w:p w14:paraId="720F9F13"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Фебрильді нейтропения 6,2% пациентте және 1,7% циклдерде байқалды.</w:t>
      </w:r>
    </w:p>
    <w:p w14:paraId="5C569728"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Инфекциялар пациенттердің шамамен 10,3%-да (2,5% цикл) туындады және пациенттердің шамамен 5,3%-да ауыр нейтропениямен байланысты болды (1,1% цикл) және 2 жағдайда өлімге әкелді.</w:t>
      </w:r>
    </w:p>
    <w:p w14:paraId="00F1D218" w14:textId="77777777" w:rsidR="008E74CF" w:rsidRPr="00727D0D" w:rsidRDefault="00297CEA" w:rsidP="008E74CF">
      <w:pPr>
        <w:spacing w:after="0" w:line="240" w:lineRule="auto"/>
        <w:jc w:val="both"/>
        <w:rPr>
          <w:rFonts w:ascii="Times New Roman" w:hAnsi="Times New Roman"/>
          <w:sz w:val="28"/>
          <w:szCs w:val="32"/>
        </w:rPr>
      </w:pPr>
      <w:r w:rsidRPr="00727D0D">
        <w:rPr>
          <w:rFonts w:ascii="Times New Roman" w:hAnsi="Times New Roman"/>
          <w:sz w:val="28"/>
          <w:szCs w:val="32"/>
          <w:lang w:val="kk"/>
        </w:rPr>
        <w:t>Анемия пациенттердің шамамен 58,7%-да байқалды (8%-да гемоглобин &lt; 8 г/дл және 0,9% -да гемоглобин &lt; 6,5 г/дл).</w:t>
      </w:r>
    </w:p>
    <w:p w14:paraId="5815A029"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Тромбоцитопения (&lt; 100 000 жасуша/мм</w:t>
      </w:r>
      <w:r w:rsidRPr="00727D0D">
        <w:rPr>
          <w:rFonts w:ascii="Times New Roman" w:hAnsi="Times New Roman"/>
          <w:sz w:val="28"/>
          <w:szCs w:val="32"/>
          <w:vertAlign w:val="superscript"/>
          <w:lang w:val="kk"/>
        </w:rPr>
        <w:t>3</w:t>
      </w:r>
      <w:r w:rsidRPr="00727D0D">
        <w:rPr>
          <w:rFonts w:ascii="Times New Roman" w:hAnsi="Times New Roman"/>
          <w:sz w:val="28"/>
          <w:szCs w:val="32"/>
          <w:lang w:val="kk"/>
        </w:rPr>
        <w:t>) 7,4% пациентте және 1,8% циклдерде байқалды, тромбоциттер саны ≤ 50 000 жасуша/мм</w:t>
      </w:r>
      <w:r w:rsidRPr="00727D0D">
        <w:rPr>
          <w:rFonts w:ascii="Times New Roman" w:hAnsi="Times New Roman"/>
          <w:sz w:val="28"/>
          <w:szCs w:val="32"/>
          <w:vertAlign w:val="superscript"/>
          <w:lang w:val="kk"/>
        </w:rPr>
        <w:t>3</w:t>
      </w:r>
      <w:r w:rsidRPr="00727D0D">
        <w:rPr>
          <w:rFonts w:ascii="Times New Roman" w:hAnsi="Times New Roman"/>
          <w:sz w:val="28"/>
          <w:szCs w:val="32"/>
          <w:lang w:val="kk"/>
        </w:rPr>
        <w:t xml:space="preserve"> болғанда 0,9% және 0,2% циклдерде. Пациенттердің барлығы дерлік 22-ші күнге қарай сауығып кетті.</w:t>
      </w:r>
    </w:p>
    <w:p w14:paraId="50AE1CA3" w14:textId="77777777" w:rsidR="008E74CF" w:rsidRPr="00F340D0" w:rsidRDefault="00297CEA" w:rsidP="008E74CF">
      <w:pPr>
        <w:spacing w:after="0" w:line="240" w:lineRule="auto"/>
        <w:jc w:val="both"/>
        <w:rPr>
          <w:rFonts w:ascii="Times New Roman" w:hAnsi="Times New Roman"/>
          <w:i/>
          <w:iCs/>
          <w:sz w:val="28"/>
          <w:szCs w:val="32"/>
          <w:lang w:val="kk"/>
        </w:rPr>
      </w:pPr>
      <w:r w:rsidRPr="00727D0D">
        <w:rPr>
          <w:rFonts w:ascii="Times New Roman" w:hAnsi="Times New Roman"/>
          <w:i/>
          <w:iCs/>
          <w:sz w:val="28"/>
          <w:szCs w:val="32"/>
          <w:lang w:val="kk"/>
        </w:rPr>
        <w:t>Жедел холинергиялық синдром</w:t>
      </w:r>
    </w:p>
    <w:p w14:paraId="428D730E" w14:textId="77777777" w:rsidR="008E74CF" w:rsidRPr="00727D0D" w:rsidRDefault="00297CEA" w:rsidP="008E74CF">
      <w:pPr>
        <w:spacing w:after="0" w:line="240" w:lineRule="auto"/>
        <w:jc w:val="both"/>
        <w:rPr>
          <w:rFonts w:ascii="Times New Roman" w:hAnsi="Times New Roman"/>
          <w:sz w:val="28"/>
          <w:szCs w:val="32"/>
        </w:rPr>
      </w:pPr>
      <w:r w:rsidRPr="00727D0D">
        <w:rPr>
          <w:rFonts w:ascii="Times New Roman" w:hAnsi="Times New Roman"/>
          <w:sz w:val="28"/>
          <w:szCs w:val="32"/>
          <w:lang w:val="kk"/>
        </w:rPr>
        <w:t>Ауыр транзиторлық жедел холинергиялық синдром монотерапияда 9% пациентте байқалды.</w:t>
      </w:r>
    </w:p>
    <w:p w14:paraId="4783B1C2"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lastRenderedPageBreak/>
        <w:t>Ауыр түрдегі астения монотерапия алған 10%-дан аз пациенттерде байқалды. Иринотеканмен себеп-салдарлық байланысы нақты анықталған жоқ.</w:t>
      </w:r>
    </w:p>
    <w:p w14:paraId="224738DE"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Инфекциясыз және қатар жүретін ауыр нейтропениясыз қызба монотерапия кезінде 12% пациентте байқалды.</w:t>
      </w:r>
    </w:p>
    <w:p w14:paraId="215D6AE0" w14:textId="77777777" w:rsidR="008E74CF" w:rsidRPr="00F340D0" w:rsidRDefault="00297CEA" w:rsidP="008E74CF">
      <w:pPr>
        <w:spacing w:after="0" w:line="240" w:lineRule="auto"/>
        <w:jc w:val="both"/>
        <w:rPr>
          <w:rFonts w:ascii="Times New Roman" w:hAnsi="Times New Roman"/>
          <w:i/>
          <w:iCs/>
          <w:sz w:val="28"/>
          <w:szCs w:val="32"/>
          <w:lang w:val="kk"/>
        </w:rPr>
      </w:pPr>
      <w:r w:rsidRPr="00727D0D">
        <w:rPr>
          <w:rFonts w:ascii="Times New Roman" w:hAnsi="Times New Roman"/>
          <w:i/>
          <w:iCs/>
          <w:sz w:val="28"/>
          <w:szCs w:val="32"/>
          <w:lang w:val="kk"/>
        </w:rPr>
        <w:t>Зертханалық зерттеулер</w:t>
      </w:r>
    </w:p>
    <w:p w14:paraId="17D9DF21"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Трансаминазаның, сілтілік фосфатазаның немесе билирубиннің сарысулық деңгейлерінің өтпелі және орташа жоғарылауы бауырдағы үдемелі метастаз болмағанда сәйкесінше 9,2%, 8,1% және 1,8% пациенттерде байқалды. Қан сарысуындағы креатинин деңгейінің өтпелі және орташа жоғарылауы 7,3% пациентте байқалды.</w:t>
      </w:r>
    </w:p>
    <w:p w14:paraId="1C51C0F8" w14:textId="77777777" w:rsidR="008E74CF" w:rsidRPr="00F340D0" w:rsidRDefault="00297CEA" w:rsidP="008E74CF">
      <w:pPr>
        <w:spacing w:after="0" w:line="240" w:lineRule="auto"/>
        <w:jc w:val="both"/>
        <w:rPr>
          <w:rFonts w:ascii="Times New Roman" w:hAnsi="Times New Roman"/>
          <w:i/>
          <w:iCs/>
          <w:sz w:val="28"/>
          <w:szCs w:val="32"/>
          <w:lang w:val="kk"/>
        </w:rPr>
      </w:pPr>
      <w:r w:rsidRPr="00727D0D">
        <w:rPr>
          <w:rFonts w:ascii="Times New Roman" w:hAnsi="Times New Roman"/>
          <w:i/>
          <w:iCs/>
          <w:sz w:val="28"/>
          <w:szCs w:val="32"/>
          <w:lang w:val="kk"/>
        </w:rPr>
        <w:t>Біріктірілген ем</w:t>
      </w:r>
    </w:p>
    <w:p w14:paraId="0764A49E"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Бұл бөлімде жан-жақты сипатталған жағымсыз реакциялар иринотеканға қатысты.</w:t>
      </w:r>
    </w:p>
    <w:p w14:paraId="3B0BEF8E"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Иринотеканың қауіпсіздік бейініне цетуксимаб ықпал етеді немесе керісінше болады деген дәлелдер жоқ. Цетуксимабпен біріктіргенде цетуксимабты қолданудан күтілетін қосымша жағымсыз реакциялар туралы (безеулі бөртпе түрінде 88%) хабарланды.</w:t>
      </w:r>
    </w:p>
    <w:p w14:paraId="53F1F03A"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Капецитабинді иринотеканмен біріктіріп қабылдаған пациенттерде капецитабинмен монотерапияда байқалғандарға немесе капецитабинмен монотерапиямен салыстырғанда жоғарырақ жиілікпен байқалғандарға қосымша тіркелген жағымсыз реакциялар мыналарды қамтиды: барлық дәрежелердегі өте жиі жағымсыз реакциялар: тромбоз/эмболия; Барлық дәрежелердегі жалпы жағымсыз реакциялар: аса жоғары сезімталдық реакциясы, ишемия/ миокард инфарктісі; Дәрілік затқа 3 және 4 дәрежедегі жиі жағымсыз реакциялар: фебрильді нейтропения.</w:t>
      </w:r>
    </w:p>
    <w:p w14:paraId="0399D284"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Капецитабинмен монотерапияда байқалғандарға немесе капецитабинмен монотерапиямен салыстырғанда жоғарырақ жиілікпен байқалғандарға қосымша, капецитабинді иринотеканмен және бевацизумабпен біріктіріп қабылдаған пациенттерде байқалған дәрілік заттарға 3-ші және 4-ші дәрежелі жағымсыз әсерлер мыналарды қамтиды: дәрілік заттарға 3-ші және 4-ші дәрежедегі жалпы жағымсыз әсерлер: нейтропения, тромбоз/эмболия, гипертония және ишемия/ миокард инфарктісі.</w:t>
      </w:r>
    </w:p>
    <w:p w14:paraId="3F2DC594"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 xml:space="preserve">3 дәрежелі артериялық гипертензия иринотеканды/5-флюороурацилді/фолий қышқылын болюстік енгізуге бевацизумабты қосумен байланысты негізгі маңызды қауіп болды. Бұдан басқа, осы режимді пайдаланған кезде химиялық емнің диареямен және лейкопениямен қатар жүретін 3/4 дәрежелі жағымсыз әсерлерінің иринотеканмен/5- флюороурацилмен/фолий қышқылымен болюстік қабылдауды алған пациенттермен салыстырғанда аздап артқаны байқалды. </w:t>
      </w:r>
    </w:p>
    <w:p w14:paraId="5A019E5F"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Иринотекан метастаздық колоректальді обыр кезінде 5-флюороурацилмен/фолий қышқылымен біріктірімде зерттелді.</w:t>
      </w:r>
    </w:p>
    <w:p w14:paraId="0B259A07"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lastRenderedPageBreak/>
        <w:t>Клиникалық зерттеулер барысында алынған жағымсыз реакциялардың қауіпсіздігі туралы деректер MedDRA жүйелік-ағзалық жіктемесі бойынша қантамыр және лимфа жүйесіндегі бұзылулармен, асқазан-ішек бұзылыстарымен, сондай-ақ тері жабындары және теріасты шелмайы бұзылуларымен байланысты болуы мүмкін немесе ықтимал өте жиі байқалатын 3 немесе 4 дәрежелі жағымсыз әсерлерді көріністейді.</w:t>
      </w:r>
    </w:p>
    <w:p w14:paraId="3C92A728"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Иринотекан қабылдаумен байланысты болуы мүмкін немесе ықтимал деп саналатын келесі жағымсыз реакциялар 350 мг/м</w:t>
      </w:r>
      <w:r w:rsidRPr="00727D0D">
        <w:rPr>
          <w:rFonts w:ascii="Times New Roman" w:hAnsi="Times New Roman"/>
          <w:sz w:val="28"/>
          <w:szCs w:val="32"/>
          <w:vertAlign w:val="superscript"/>
          <w:lang w:val="kk"/>
        </w:rPr>
        <w:t>2</w:t>
      </w:r>
      <w:r w:rsidRPr="00727D0D">
        <w:rPr>
          <w:rFonts w:ascii="Times New Roman" w:hAnsi="Times New Roman"/>
          <w:sz w:val="28"/>
          <w:szCs w:val="32"/>
          <w:lang w:val="kk"/>
        </w:rPr>
        <w:t xml:space="preserve"> иринотеканмен ұсынылған дозада монотерапияда 765 пациентте және иринотеканды 5- флюороурацилмен/фолиний қышқылымен әр екі апта сайын ұсынылған 180 мг/м</w:t>
      </w:r>
      <w:r w:rsidRPr="00727D0D">
        <w:rPr>
          <w:rFonts w:ascii="Times New Roman" w:hAnsi="Times New Roman"/>
          <w:sz w:val="28"/>
          <w:szCs w:val="32"/>
          <w:vertAlign w:val="superscript"/>
          <w:lang w:val="kk"/>
        </w:rPr>
        <w:t>2</w:t>
      </w:r>
      <w:r w:rsidRPr="00727D0D">
        <w:rPr>
          <w:rFonts w:ascii="Times New Roman" w:hAnsi="Times New Roman"/>
          <w:sz w:val="28"/>
          <w:szCs w:val="32"/>
          <w:lang w:val="kk"/>
        </w:rPr>
        <w:t xml:space="preserve"> дозада қабылдаған 145 пациентте тіркелді.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987"/>
        <w:gridCol w:w="3054"/>
      </w:tblGrid>
      <w:tr w:rsidR="00BB1157" w:rsidRPr="00A3603E" w14:paraId="274909A8" w14:textId="77777777" w:rsidTr="00A2324B">
        <w:tc>
          <w:tcPr>
            <w:tcW w:w="9287" w:type="dxa"/>
            <w:gridSpan w:val="3"/>
            <w:shd w:val="clear" w:color="auto" w:fill="auto"/>
          </w:tcPr>
          <w:p w14:paraId="61236E3D" w14:textId="77777777" w:rsidR="008E74CF" w:rsidRPr="00F340D0" w:rsidRDefault="00297CEA" w:rsidP="00A2324B">
            <w:pPr>
              <w:spacing w:after="0" w:line="240" w:lineRule="auto"/>
              <w:jc w:val="both"/>
              <w:rPr>
                <w:rFonts w:ascii="Times New Roman" w:hAnsi="Times New Roman"/>
                <w:b/>
                <w:bCs/>
                <w:sz w:val="28"/>
                <w:szCs w:val="28"/>
                <w:lang w:val="kk"/>
              </w:rPr>
            </w:pPr>
            <w:r w:rsidRPr="00727D0D">
              <w:rPr>
                <w:rFonts w:ascii="Times New Roman" w:hAnsi="Times New Roman"/>
                <w:b/>
                <w:bCs/>
                <w:sz w:val="28"/>
                <w:szCs w:val="28"/>
                <w:lang w:val="kk"/>
              </w:rPr>
              <w:t>Иринотеканды біріктірілген емде (әр 3 апта сайын 180 мг/м</w:t>
            </w:r>
            <w:r w:rsidRPr="00727D0D">
              <w:rPr>
                <w:rFonts w:ascii="Times New Roman" w:hAnsi="Times New Roman"/>
                <w:b/>
                <w:bCs/>
                <w:sz w:val="28"/>
                <w:szCs w:val="28"/>
                <w:vertAlign w:val="superscript"/>
                <w:lang w:val="kk"/>
              </w:rPr>
              <w:t>2</w:t>
            </w:r>
            <w:r w:rsidRPr="00727D0D">
              <w:rPr>
                <w:rFonts w:ascii="Times New Roman" w:hAnsi="Times New Roman"/>
                <w:b/>
                <w:bCs/>
                <w:sz w:val="28"/>
                <w:szCs w:val="28"/>
                <w:lang w:val="kk"/>
              </w:rPr>
              <w:t>) пайдаланғанда тіркелген жағымсыз реакциялар</w:t>
            </w:r>
          </w:p>
        </w:tc>
      </w:tr>
      <w:tr w:rsidR="00BB1157" w14:paraId="08A2A457" w14:textId="77777777" w:rsidTr="00A2324B">
        <w:tc>
          <w:tcPr>
            <w:tcW w:w="3095" w:type="dxa"/>
            <w:shd w:val="clear" w:color="auto" w:fill="auto"/>
          </w:tcPr>
          <w:p w14:paraId="3804304C" w14:textId="77777777" w:rsidR="008E74CF" w:rsidRPr="00F340D0" w:rsidRDefault="00297CEA" w:rsidP="00A2324B">
            <w:pPr>
              <w:spacing w:after="0" w:line="240" w:lineRule="auto"/>
              <w:jc w:val="both"/>
              <w:rPr>
                <w:rFonts w:ascii="Times New Roman" w:hAnsi="Times New Roman"/>
                <w:sz w:val="28"/>
                <w:szCs w:val="28"/>
                <w:lang w:val="kk"/>
              </w:rPr>
            </w:pPr>
            <w:r w:rsidRPr="00727D0D">
              <w:rPr>
                <w:rFonts w:ascii="Times New Roman" w:hAnsi="Times New Roman"/>
                <w:sz w:val="28"/>
                <w:szCs w:val="28"/>
                <w:lang w:val="kk"/>
              </w:rPr>
              <w:t>MedDRA бойынша жүйелік-ағзалық жіктеу</w:t>
            </w:r>
          </w:p>
        </w:tc>
        <w:tc>
          <w:tcPr>
            <w:tcW w:w="3096" w:type="dxa"/>
            <w:shd w:val="clear" w:color="auto" w:fill="auto"/>
          </w:tcPr>
          <w:p w14:paraId="13BDAB47" w14:textId="77777777" w:rsidR="008E74CF" w:rsidRPr="00727D0D" w:rsidRDefault="00297CEA" w:rsidP="00A2324B">
            <w:pPr>
              <w:spacing w:after="0" w:line="240" w:lineRule="auto"/>
              <w:jc w:val="both"/>
              <w:rPr>
                <w:rFonts w:ascii="Times New Roman" w:hAnsi="Times New Roman"/>
                <w:sz w:val="28"/>
                <w:szCs w:val="28"/>
                <w:lang w:val="kk-KZ"/>
              </w:rPr>
            </w:pPr>
            <w:r w:rsidRPr="00727D0D">
              <w:rPr>
                <w:rFonts w:ascii="Times New Roman" w:hAnsi="Times New Roman"/>
                <w:sz w:val="28"/>
                <w:szCs w:val="28"/>
                <w:lang w:val="kk"/>
              </w:rPr>
              <w:t>Туындау жиілігі</w:t>
            </w:r>
          </w:p>
        </w:tc>
        <w:tc>
          <w:tcPr>
            <w:tcW w:w="3096" w:type="dxa"/>
            <w:shd w:val="clear" w:color="auto" w:fill="auto"/>
          </w:tcPr>
          <w:p w14:paraId="6E608A32" w14:textId="77777777" w:rsidR="008E74CF" w:rsidRPr="00727D0D" w:rsidRDefault="00297CEA" w:rsidP="00A2324B">
            <w:pPr>
              <w:spacing w:after="0" w:line="240" w:lineRule="auto"/>
              <w:jc w:val="both"/>
              <w:rPr>
                <w:rFonts w:ascii="Times New Roman" w:hAnsi="Times New Roman"/>
                <w:bCs/>
                <w:sz w:val="28"/>
                <w:szCs w:val="28"/>
              </w:rPr>
            </w:pPr>
            <w:r w:rsidRPr="00727D0D">
              <w:rPr>
                <w:rFonts w:ascii="Times New Roman" w:hAnsi="Times New Roman"/>
                <w:bCs/>
                <w:sz w:val="28"/>
                <w:szCs w:val="28"/>
                <w:lang w:val="kk"/>
              </w:rPr>
              <w:t>Жағымсыз реакциялар</w:t>
            </w:r>
          </w:p>
        </w:tc>
      </w:tr>
      <w:tr w:rsidR="00BB1157" w14:paraId="05ABA413" w14:textId="77777777" w:rsidTr="00A2324B">
        <w:tc>
          <w:tcPr>
            <w:tcW w:w="3095" w:type="dxa"/>
            <w:shd w:val="clear" w:color="auto" w:fill="auto"/>
          </w:tcPr>
          <w:p w14:paraId="628760F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Инфекциялар мен инвазиялар</w:t>
            </w:r>
          </w:p>
        </w:tc>
        <w:tc>
          <w:tcPr>
            <w:tcW w:w="3096" w:type="dxa"/>
            <w:shd w:val="clear" w:color="auto" w:fill="auto"/>
          </w:tcPr>
          <w:p w14:paraId="7E9FC8E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52EA682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Инфекция</w:t>
            </w:r>
          </w:p>
        </w:tc>
      </w:tr>
      <w:tr w:rsidR="00BB1157" w14:paraId="482B5A32" w14:textId="77777777" w:rsidTr="00A2324B">
        <w:trPr>
          <w:trHeight w:val="174"/>
        </w:trPr>
        <w:tc>
          <w:tcPr>
            <w:tcW w:w="3095" w:type="dxa"/>
            <w:vMerge w:val="restart"/>
            <w:shd w:val="clear" w:color="auto" w:fill="auto"/>
          </w:tcPr>
          <w:p w14:paraId="24C22DF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 және лимфа жүйесі тарапынан бұзылулар</w:t>
            </w:r>
          </w:p>
        </w:tc>
        <w:tc>
          <w:tcPr>
            <w:tcW w:w="3096" w:type="dxa"/>
            <w:shd w:val="clear" w:color="auto" w:fill="auto"/>
          </w:tcPr>
          <w:p w14:paraId="4869438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094F743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Тромбоцитопения</w:t>
            </w:r>
          </w:p>
        </w:tc>
      </w:tr>
      <w:tr w:rsidR="00BB1157" w14:paraId="11700773" w14:textId="77777777" w:rsidTr="00A2324B">
        <w:trPr>
          <w:trHeight w:val="172"/>
        </w:trPr>
        <w:tc>
          <w:tcPr>
            <w:tcW w:w="3095" w:type="dxa"/>
            <w:vMerge/>
            <w:shd w:val="clear" w:color="auto" w:fill="auto"/>
          </w:tcPr>
          <w:p w14:paraId="42300AAD"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81678D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2127DDA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Нейтропения</w:t>
            </w:r>
          </w:p>
        </w:tc>
      </w:tr>
      <w:tr w:rsidR="00BB1157" w14:paraId="680462CB" w14:textId="77777777" w:rsidTr="00A2324B">
        <w:trPr>
          <w:trHeight w:val="172"/>
        </w:trPr>
        <w:tc>
          <w:tcPr>
            <w:tcW w:w="3095" w:type="dxa"/>
            <w:vMerge/>
            <w:shd w:val="clear" w:color="auto" w:fill="auto"/>
          </w:tcPr>
          <w:p w14:paraId="11DA72D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4744E18"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CE493B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Анемия</w:t>
            </w:r>
          </w:p>
        </w:tc>
      </w:tr>
      <w:tr w:rsidR="00BB1157" w14:paraId="4252B4A1" w14:textId="77777777" w:rsidTr="00A2324B">
        <w:trPr>
          <w:trHeight w:val="172"/>
        </w:trPr>
        <w:tc>
          <w:tcPr>
            <w:tcW w:w="3095" w:type="dxa"/>
            <w:vMerge/>
            <w:shd w:val="clear" w:color="auto" w:fill="auto"/>
          </w:tcPr>
          <w:p w14:paraId="0B4EFB50"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00BDF5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1282E33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Фебрильді нейтропения</w:t>
            </w:r>
          </w:p>
        </w:tc>
      </w:tr>
      <w:tr w:rsidR="00BB1157" w14:paraId="72B3737F" w14:textId="77777777" w:rsidTr="00A2324B">
        <w:tc>
          <w:tcPr>
            <w:tcW w:w="3095" w:type="dxa"/>
            <w:shd w:val="clear" w:color="auto" w:fill="auto"/>
          </w:tcPr>
          <w:p w14:paraId="79E8588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Зат алмасу және тамақтану бұзылулары</w:t>
            </w:r>
          </w:p>
        </w:tc>
        <w:tc>
          <w:tcPr>
            <w:tcW w:w="3096" w:type="dxa"/>
            <w:shd w:val="clear" w:color="auto" w:fill="auto"/>
          </w:tcPr>
          <w:p w14:paraId="619A382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468C75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Тәбеттің төмендеуі</w:t>
            </w:r>
          </w:p>
        </w:tc>
      </w:tr>
      <w:tr w:rsidR="00BB1157" w14:paraId="50118004" w14:textId="77777777" w:rsidTr="00A2324B">
        <w:tc>
          <w:tcPr>
            <w:tcW w:w="3095" w:type="dxa"/>
            <w:shd w:val="clear" w:color="auto" w:fill="auto"/>
          </w:tcPr>
          <w:p w14:paraId="6962BFC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Жүйке жүйесінің бұзылуы</w:t>
            </w:r>
          </w:p>
        </w:tc>
        <w:tc>
          <w:tcPr>
            <w:tcW w:w="3096" w:type="dxa"/>
            <w:shd w:val="clear" w:color="auto" w:fill="auto"/>
          </w:tcPr>
          <w:p w14:paraId="0C63294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33269C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Холинергиялық синдром</w:t>
            </w:r>
          </w:p>
        </w:tc>
      </w:tr>
      <w:tr w:rsidR="00BB1157" w14:paraId="15DF48B2" w14:textId="77777777" w:rsidTr="00A2324B">
        <w:trPr>
          <w:trHeight w:val="92"/>
        </w:trPr>
        <w:tc>
          <w:tcPr>
            <w:tcW w:w="3095" w:type="dxa"/>
            <w:vMerge w:val="restart"/>
            <w:shd w:val="clear" w:color="auto" w:fill="auto"/>
          </w:tcPr>
          <w:p w14:paraId="4A68E92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Асқазан-ішек бұзылыстары</w:t>
            </w:r>
          </w:p>
        </w:tc>
        <w:tc>
          <w:tcPr>
            <w:tcW w:w="3096" w:type="dxa"/>
            <w:shd w:val="clear" w:color="auto" w:fill="auto"/>
          </w:tcPr>
          <w:p w14:paraId="35C6476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12AD1A8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Диарея</w:t>
            </w:r>
          </w:p>
        </w:tc>
      </w:tr>
      <w:tr w:rsidR="00BB1157" w14:paraId="6ADC16F0" w14:textId="77777777" w:rsidTr="00A2324B">
        <w:trPr>
          <w:trHeight w:val="92"/>
        </w:trPr>
        <w:tc>
          <w:tcPr>
            <w:tcW w:w="3095" w:type="dxa"/>
            <w:vMerge/>
            <w:shd w:val="clear" w:color="auto" w:fill="auto"/>
          </w:tcPr>
          <w:p w14:paraId="31F4891D"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D3CFD1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77C565B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Құсу</w:t>
            </w:r>
          </w:p>
        </w:tc>
      </w:tr>
      <w:tr w:rsidR="00BB1157" w14:paraId="0060F675" w14:textId="77777777" w:rsidTr="00A2324B">
        <w:trPr>
          <w:trHeight w:val="92"/>
        </w:trPr>
        <w:tc>
          <w:tcPr>
            <w:tcW w:w="3095" w:type="dxa"/>
            <w:vMerge/>
            <w:shd w:val="clear" w:color="auto" w:fill="auto"/>
          </w:tcPr>
          <w:p w14:paraId="1868DFF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A64B41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545C9F88"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Жүрек айну</w:t>
            </w:r>
          </w:p>
        </w:tc>
      </w:tr>
      <w:tr w:rsidR="00BB1157" w14:paraId="15FFA1EE" w14:textId="77777777" w:rsidTr="00A2324B">
        <w:trPr>
          <w:trHeight w:val="92"/>
        </w:trPr>
        <w:tc>
          <w:tcPr>
            <w:tcW w:w="3095" w:type="dxa"/>
            <w:vMerge/>
            <w:shd w:val="clear" w:color="auto" w:fill="auto"/>
          </w:tcPr>
          <w:p w14:paraId="22DB9603"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5D16AAB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499FE42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Іштің ауыруы</w:t>
            </w:r>
          </w:p>
        </w:tc>
      </w:tr>
      <w:tr w:rsidR="00BB1157" w14:paraId="6D6BA51B" w14:textId="77777777" w:rsidTr="00A2324B">
        <w:trPr>
          <w:trHeight w:val="92"/>
        </w:trPr>
        <w:tc>
          <w:tcPr>
            <w:tcW w:w="3095" w:type="dxa"/>
            <w:vMerge/>
            <w:shd w:val="clear" w:color="auto" w:fill="auto"/>
          </w:tcPr>
          <w:p w14:paraId="0AF3D612"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768234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011DC06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 қату</w:t>
            </w:r>
          </w:p>
        </w:tc>
      </w:tr>
      <w:tr w:rsidR="00BB1157" w14:paraId="2FE1FE68" w14:textId="77777777" w:rsidTr="00A2324B">
        <w:tc>
          <w:tcPr>
            <w:tcW w:w="3095" w:type="dxa"/>
            <w:shd w:val="clear" w:color="auto" w:fill="auto"/>
          </w:tcPr>
          <w:p w14:paraId="55A9EDA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Тері жабындары мен теріасты шелмайы тарапынан бұзылулар:</w:t>
            </w:r>
          </w:p>
        </w:tc>
        <w:tc>
          <w:tcPr>
            <w:tcW w:w="3096" w:type="dxa"/>
            <w:shd w:val="clear" w:color="auto" w:fill="auto"/>
          </w:tcPr>
          <w:p w14:paraId="730EF3C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1FAC4BB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Алопеция (қайтымды)</w:t>
            </w:r>
          </w:p>
        </w:tc>
      </w:tr>
      <w:tr w:rsidR="00BB1157" w14:paraId="4EA5A8F1" w14:textId="77777777" w:rsidTr="00A2324B">
        <w:trPr>
          <w:trHeight w:val="154"/>
        </w:trPr>
        <w:tc>
          <w:tcPr>
            <w:tcW w:w="3095" w:type="dxa"/>
            <w:vMerge w:val="restart"/>
            <w:shd w:val="clear" w:color="auto" w:fill="auto"/>
          </w:tcPr>
          <w:p w14:paraId="0BE99B7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Жалпы бұзылыстар және енгізген жердегі жағдайлар</w:t>
            </w:r>
          </w:p>
        </w:tc>
        <w:tc>
          <w:tcPr>
            <w:tcW w:w="3096" w:type="dxa"/>
            <w:shd w:val="clear" w:color="auto" w:fill="auto"/>
          </w:tcPr>
          <w:p w14:paraId="1BFE339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020D2DE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Шырышты қабықтың қабынуы</w:t>
            </w:r>
          </w:p>
        </w:tc>
      </w:tr>
      <w:tr w:rsidR="00BB1157" w14:paraId="23BA62B9" w14:textId="77777777" w:rsidTr="00A2324B">
        <w:trPr>
          <w:trHeight w:val="153"/>
        </w:trPr>
        <w:tc>
          <w:tcPr>
            <w:tcW w:w="3095" w:type="dxa"/>
            <w:vMerge/>
            <w:shd w:val="clear" w:color="auto" w:fill="auto"/>
          </w:tcPr>
          <w:p w14:paraId="444EF2BB"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23C2BDD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жиі</w:t>
            </w:r>
          </w:p>
        </w:tc>
        <w:tc>
          <w:tcPr>
            <w:tcW w:w="3096" w:type="dxa"/>
            <w:shd w:val="clear" w:color="auto" w:fill="auto"/>
          </w:tcPr>
          <w:p w14:paraId="00FA772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Астения</w:t>
            </w:r>
          </w:p>
        </w:tc>
      </w:tr>
      <w:tr w:rsidR="00BB1157" w14:paraId="36FB524E" w14:textId="77777777" w:rsidTr="00A2324B">
        <w:trPr>
          <w:trHeight w:val="153"/>
        </w:trPr>
        <w:tc>
          <w:tcPr>
            <w:tcW w:w="3095" w:type="dxa"/>
            <w:vMerge/>
            <w:shd w:val="clear" w:color="auto" w:fill="auto"/>
          </w:tcPr>
          <w:p w14:paraId="406A0C3B"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3F63FB2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79A7D74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Қызба</w:t>
            </w:r>
          </w:p>
        </w:tc>
      </w:tr>
      <w:tr w:rsidR="00BB1157" w14:paraId="17C51D9B" w14:textId="77777777" w:rsidTr="00A2324B">
        <w:trPr>
          <w:trHeight w:val="59"/>
        </w:trPr>
        <w:tc>
          <w:tcPr>
            <w:tcW w:w="3095" w:type="dxa"/>
            <w:vMerge w:val="restart"/>
            <w:shd w:val="clear" w:color="auto" w:fill="auto"/>
          </w:tcPr>
          <w:p w14:paraId="6291502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Зертханалық деректер</w:t>
            </w:r>
          </w:p>
        </w:tc>
        <w:tc>
          <w:tcPr>
            <w:tcW w:w="3096" w:type="dxa"/>
            <w:shd w:val="clear" w:color="auto" w:fill="auto"/>
          </w:tcPr>
          <w:p w14:paraId="7BBBDB0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70CD871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АЛТ және АСТ көрсеткіштерінің жоғарылауы</w:t>
            </w:r>
          </w:p>
        </w:tc>
      </w:tr>
      <w:tr w:rsidR="00BB1157" w14:paraId="48F4B375" w14:textId="77777777" w:rsidTr="00A2324B">
        <w:trPr>
          <w:trHeight w:val="57"/>
        </w:trPr>
        <w:tc>
          <w:tcPr>
            <w:tcW w:w="3095" w:type="dxa"/>
            <w:vMerge/>
            <w:shd w:val="clear" w:color="auto" w:fill="auto"/>
          </w:tcPr>
          <w:p w14:paraId="000D9476"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24051B7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72FC026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Қандағы билирубиннің жоғарылауы</w:t>
            </w:r>
          </w:p>
        </w:tc>
      </w:tr>
      <w:tr w:rsidR="00BB1157" w14:paraId="7169EDD2" w14:textId="77777777" w:rsidTr="00A2324B">
        <w:trPr>
          <w:trHeight w:val="57"/>
        </w:trPr>
        <w:tc>
          <w:tcPr>
            <w:tcW w:w="3095" w:type="dxa"/>
            <w:vMerge/>
            <w:shd w:val="clear" w:color="auto" w:fill="auto"/>
          </w:tcPr>
          <w:p w14:paraId="6E95768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6F10FE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Жиі</w:t>
            </w:r>
          </w:p>
        </w:tc>
        <w:tc>
          <w:tcPr>
            <w:tcW w:w="3096" w:type="dxa"/>
            <w:shd w:val="clear" w:color="auto" w:fill="auto"/>
          </w:tcPr>
          <w:p w14:paraId="18FB07E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Қандағы СФ жоғарылауы</w:t>
            </w:r>
          </w:p>
        </w:tc>
      </w:tr>
    </w:tbl>
    <w:p w14:paraId="07D57C24" w14:textId="77777777" w:rsidR="008E74CF" w:rsidRPr="00727D0D" w:rsidRDefault="00297CEA" w:rsidP="008E74CF">
      <w:pPr>
        <w:spacing w:after="0" w:line="240" w:lineRule="auto"/>
        <w:jc w:val="both"/>
        <w:rPr>
          <w:rFonts w:ascii="Times New Roman" w:hAnsi="Times New Roman"/>
          <w:bCs/>
          <w:i/>
          <w:iCs/>
          <w:sz w:val="28"/>
          <w:szCs w:val="32"/>
        </w:rPr>
      </w:pPr>
      <w:r w:rsidRPr="00727D0D">
        <w:rPr>
          <w:rFonts w:ascii="Times New Roman" w:hAnsi="Times New Roman"/>
          <w:bCs/>
          <w:i/>
          <w:iCs/>
          <w:sz w:val="28"/>
          <w:szCs w:val="32"/>
          <w:lang w:val="kk"/>
        </w:rPr>
        <w:t>Жеке жағымсыз реакциялардың сипаттамасы (біріктірілген ем)</w:t>
      </w:r>
    </w:p>
    <w:p w14:paraId="24082574"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Ауыр диарея диареяны емдеу жөніндегі нұсқауларды орындайтын пациенттердің 13,1% - ында байқалды. Баға беруге болатын циклдерден 3,9%-да ауыр түрі болды.</w:t>
      </w:r>
    </w:p>
    <w:p w14:paraId="6791ABB4"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Күшті жүрек айну және құсу жағдайларының жиілігі азырақ байқалды байқалды (сәйкесінше, 2,1% және 2,8% пациенттерде).</w:t>
      </w:r>
    </w:p>
    <w:p w14:paraId="5A750D0D"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Иринотекан және/немесе лоперамид қабылдаумен байланысты іш қату 3,4% пациентте байқалды.</w:t>
      </w:r>
    </w:p>
    <w:p w14:paraId="5782A4CE"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Нейтропения пациенттердің 82,5%-да білінді және 9,8% пациентте ауыр сипатта болды (нейтрофилдер саны &lt; 500 жасуша/мм</w:t>
      </w:r>
      <w:r w:rsidRPr="00727D0D">
        <w:rPr>
          <w:rFonts w:ascii="Times New Roman" w:hAnsi="Times New Roman"/>
          <w:iCs/>
          <w:sz w:val="28"/>
          <w:szCs w:val="32"/>
          <w:vertAlign w:val="superscript"/>
          <w:lang w:val="kk"/>
        </w:rPr>
        <w:t>3</w:t>
      </w:r>
      <w:r w:rsidRPr="00727D0D">
        <w:rPr>
          <w:rFonts w:ascii="Times New Roman" w:hAnsi="Times New Roman"/>
          <w:iCs/>
          <w:sz w:val="28"/>
          <w:szCs w:val="32"/>
          <w:lang w:val="kk"/>
        </w:rPr>
        <w:t>). Бағалауға болатын циклдерден, нейтрофилдер саны &lt; 500 жасуша/мм</w:t>
      </w:r>
      <w:r w:rsidRPr="00727D0D">
        <w:rPr>
          <w:rFonts w:ascii="Times New Roman" w:hAnsi="Times New Roman"/>
          <w:iCs/>
          <w:sz w:val="28"/>
          <w:szCs w:val="32"/>
          <w:vertAlign w:val="superscript"/>
          <w:lang w:val="kk"/>
        </w:rPr>
        <w:t>3</w:t>
      </w:r>
      <w:r w:rsidRPr="00727D0D">
        <w:rPr>
          <w:rFonts w:ascii="Times New Roman" w:hAnsi="Times New Roman"/>
          <w:iCs/>
          <w:sz w:val="28"/>
          <w:szCs w:val="32"/>
          <w:lang w:val="kk"/>
        </w:rPr>
        <w:t xml:space="preserve"> болатын 2,7%-ды қоса алғанда, 67,3%-да нейтрофилдер саны 1000 жасуша/мм</w:t>
      </w:r>
      <w:r w:rsidRPr="00727D0D">
        <w:rPr>
          <w:rFonts w:ascii="Times New Roman" w:hAnsi="Times New Roman"/>
          <w:iCs/>
          <w:sz w:val="28"/>
          <w:szCs w:val="32"/>
          <w:vertAlign w:val="superscript"/>
          <w:lang w:val="kk"/>
        </w:rPr>
        <w:t>3</w:t>
      </w:r>
      <w:r w:rsidRPr="00727D0D">
        <w:rPr>
          <w:rFonts w:ascii="Times New Roman" w:hAnsi="Times New Roman"/>
          <w:iCs/>
          <w:sz w:val="28"/>
          <w:szCs w:val="32"/>
          <w:lang w:val="kk"/>
        </w:rPr>
        <w:t xml:space="preserve"> аз болды. Толық сауығуға әдетте 7-8 күн ішінде қол жеткізілді.  </w:t>
      </w:r>
    </w:p>
    <w:p w14:paraId="49F9610E"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Фебрильді нейтропения 3,4% пациентте және 0,9% циклдерде байқалды.</w:t>
      </w:r>
    </w:p>
    <w:p w14:paraId="7F0D3757"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Инфекция пациенттердің шамамен 2%-да (0,5% цикл) байқалды және пациенттердің шамамен 2,1%-да ауыр нейтропениямен байланысты болды (0,5% цикл) және 1 жағдайда өлімге әкелді.</w:t>
      </w:r>
    </w:p>
    <w:p w14:paraId="3910FBF8" w14:textId="77777777" w:rsidR="008E74CF" w:rsidRPr="00727D0D" w:rsidRDefault="00297CEA" w:rsidP="008E74CF">
      <w:pPr>
        <w:spacing w:after="0" w:line="240" w:lineRule="auto"/>
        <w:jc w:val="both"/>
        <w:rPr>
          <w:rFonts w:ascii="Times New Roman" w:hAnsi="Times New Roman"/>
          <w:iCs/>
          <w:sz w:val="28"/>
          <w:szCs w:val="32"/>
        </w:rPr>
      </w:pPr>
      <w:r w:rsidRPr="00727D0D">
        <w:rPr>
          <w:rFonts w:ascii="Times New Roman" w:hAnsi="Times New Roman"/>
          <w:iCs/>
          <w:sz w:val="28"/>
          <w:szCs w:val="32"/>
          <w:lang w:val="kk"/>
        </w:rPr>
        <w:t>Анемия пациенттердің 97,2%-да тіркелді (2,1%-да гемоглобин &lt; 8 г/дл).</w:t>
      </w:r>
    </w:p>
    <w:p w14:paraId="5B9F1A35"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Тромбоцитопения (&lt;100 000 жасуша/мм</w:t>
      </w:r>
      <w:r w:rsidRPr="00727D0D">
        <w:rPr>
          <w:rFonts w:ascii="Times New Roman" w:hAnsi="Times New Roman"/>
          <w:iCs/>
          <w:sz w:val="28"/>
          <w:szCs w:val="32"/>
          <w:vertAlign w:val="superscript"/>
          <w:lang w:val="kk"/>
        </w:rPr>
        <w:t>3</w:t>
      </w:r>
      <w:r w:rsidRPr="00727D0D">
        <w:rPr>
          <w:rFonts w:ascii="Times New Roman" w:hAnsi="Times New Roman"/>
          <w:iCs/>
          <w:sz w:val="28"/>
          <w:szCs w:val="32"/>
          <w:lang w:val="kk"/>
        </w:rPr>
        <w:t>) 32,6% пациентте және 21,8% циклдерде байқалды. Ауыр тромбоцитопения (&lt;50 000 жасуша/мм</w:t>
      </w:r>
      <w:r w:rsidRPr="00727D0D">
        <w:rPr>
          <w:rFonts w:ascii="Times New Roman" w:hAnsi="Times New Roman"/>
          <w:iCs/>
          <w:sz w:val="28"/>
          <w:szCs w:val="32"/>
          <w:vertAlign w:val="superscript"/>
          <w:lang w:val="kk"/>
        </w:rPr>
        <w:t>3</w:t>
      </w:r>
      <w:r w:rsidRPr="00727D0D">
        <w:rPr>
          <w:rFonts w:ascii="Times New Roman" w:hAnsi="Times New Roman"/>
          <w:iCs/>
          <w:sz w:val="28"/>
          <w:szCs w:val="32"/>
          <w:lang w:val="kk"/>
        </w:rPr>
        <w:t>) байқалған жоқ.</w:t>
      </w:r>
    </w:p>
    <w:p w14:paraId="01BD372D"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Жедел холинергиялық синдром. Ауыр транзиторлық жедел холинергиялық синдром біріктірілген ем алған 12% пациентте байқалды.</w:t>
      </w:r>
    </w:p>
    <w:p w14:paraId="52FA7D9B"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Ауыр түрдегі астения біріктірілген ем алған 6,2% пациентте байқалды. Иринотеканмен себеп-салдарлық байланысы нақты анықталған жоқ.</w:t>
      </w:r>
    </w:p>
    <w:p w14:paraId="6EB18F5B"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Инфекциясыз және қатар жүретін ауыр нейтропениясыз қызба біріктірілген ем алған 6,2% пациентте байқалды.</w:t>
      </w:r>
    </w:p>
    <w:p w14:paraId="2CD5840E" w14:textId="77777777" w:rsidR="008E74CF" w:rsidRPr="00F340D0" w:rsidRDefault="00297CEA" w:rsidP="008E74CF">
      <w:pPr>
        <w:spacing w:after="0" w:line="240" w:lineRule="auto"/>
        <w:jc w:val="both"/>
        <w:rPr>
          <w:rFonts w:ascii="Times New Roman" w:hAnsi="Times New Roman"/>
          <w:i/>
          <w:sz w:val="28"/>
          <w:szCs w:val="32"/>
          <w:lang w:val="kk"/>
        </w:rPr>
      </w:pPr>
      <w:r w:rsidRPr="00727D0D">
        <w:rPr>
          <w:rFonts w:ascii="Times New Roman" w:hAnsi="Times New Roman"/>
          <w:i/>
          <w:sz w:val="28"/>
          <w:szCs w:val="32"/>
          <w:lang w:val="kk"/>
        </w:rPr>
        <w:t>Зертханалық тестілер</w:t>
      </w:r>
    </w:p>
    <w:p w14:paraId="1637D971"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АСаТ, АЛаТ, сілтілік фосфатазаның немесе билирубиннің өтпелі сарысулық деңгейлері (1 және 2 дәрежелі) бауырда үдемелі метастаздар болмағанда, сәйкесінше 15%, 11%, 11% және 10% пациенттерде байқалды. 3 дәрежелі өтпелі процестер сәйкесінше 0%, 0%, 0% және 1% пациентте байқалды. 4-ші дәрежесі байқалған жоқ. Амилаза және/немесе липаза деңгейінің жоғарылағаны туралы өте сирек жағдайларда хабарланды.</w:t>
      </w:r>
    </w:p>
    <w:p w14:paraId="779D7B0C" w14:textId="77777777" w:rsidR="008E74CF" w:rsidRPr="00F340D0" w:rsidRDefault="00297CEA" w:rsidP="008E74CF">
      <w:pPr>
        <w:spacing w:after="0" w:line="240" w:lineRule="auto"/>
        <w:jc w:val="both"/>
        <w:rPr>
          <w:rFonts w:ascii="Times New Roman" w:hAnsi="Times New Roman"/>
          <w:iCs/>
          <w:sz w:val="28"/>
          <w:szCs w:val="32"/>
          <w:lang w:val="kk"/>
        </w:rPr>
      </w:pPr>
      <w:r w:rsidRPr="00727D0D">
        <w:rPr>
          <w:rFonts w:ascii="Times New Roman" w:hAnsi="Times New Roman"/>
          <w:iCs/>
          <w:sz w:val="28"/>
          <w:szCs w:val="32"/>
          <w:lang w:val="kk"/>
        </w:rPr>
        <w:t xml:space="preserve">Негізінен диареямен және құсумен байланысты гипокалиемия мен гипонатриемияның сирек жағдайлары туралы хабарланды.  </w:t>
      </w:r>
    </w:p>
    <w:p w14:paraId="6F8661A2" w14:textId="77777777" w:rsidR="00521354" w:rsidRPr="00F340D0" w:rsidRDefault="00297CEA" w:rsidP="008E74CF">
      <w:pPr>
        <w:spacing w:after="0" w:line="240" w:lineRule="auto"/>
        <w:jc w:val="both"/>
        <w:rPr>
          <w:rFonts w:ascii="Times New Roman" w:hAnsi="Times New Roman"/>
          <w:i/>
          <w:sz w:val="28"/>
          <w:szCs w:val="32"/>
          <w:lang w:val="kk"/>
        </w:rPr>
      </w:pPr>
      <w:r w:rsidRPr="00521354">
        <w:rPr>
          <w:rFonts w:ascii="Times New Roman" w:hAnsi="Times New Roman"/>
          <w:i/>
          <w:sz w:val="28"/>
          <w:szCs w:val="32"/>
          <w:lang w:val="kk"/>
        </w:rPr>
        <w:t>Иринотеканмен емдеудің апталық режимімен клиникалық зерттеулерде тіркелген басқа жағымсыз құбылыстар</w:t>
      </w:r>
    </w:p>
    <w:p w14:paraId="115C81CF"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lastRenderedPageBreak/>
        <w:t>Клиникалық зерттеулерде иринотеканды қабылдаған кезде мынадай жағдайлар тіркелген: ауыру, сепсис, аноректальді бұзылыс, асқазан-ішек жолының кандидозы, гипомагниемия, бөртпе, терідегі белгілер, жүрістің бұзылуы, сананың шатасуы, бас ауыруы, естен тану, қан кернеу, брадикардия, несеп шығару жолдарының инфекциясы, кеуденің ауыруы, гамма-глутамилтрансферазаның күшеюі, экстравазация және ісік лизисі синдромы, жүрек-қантамыр бұзылыстары (стенокардия, жүректің тоқтауы, миокард инфарктісі, миокард ишемиясы, шеткері тамырлардың бұзылысы, тамырлық бұзылулар) және тромбоэмболиялық құбылыстар (артериялық тромбоз, церебральді инфаркт, мидағы қанайналымның бұзылуы, терең веналар тромбозы, шеткері эмболия, өкпе артериясының тромбоэмболиясы, тромбофлебит, тромбоз және кенеттен өлу).</w:t>
      </w:r>
    </w:p>
    <w:p w14:paraId="24ECA2B7" w14:textId="77777777" w:rsidR="008E74CF" w:rsidRPr="00F340D0" w:rsidRDefault="00297CEA" w:rsidP="008E74CF">
      <w:pPr>
        <w:spacing w:after="0" w:line="240" w:lineRule="auto"/>
        <w:jc w:val="both"/>
        <w:rPr>
          <w:rFonts w:ascii="Times New Roman" w:hAnsi="Times New Roman"/>
          <w:bCs/>
          <w:i/>
          <w:iCs/>
          <w:sz w:val="28"/>
          <w:szCs w:val="32"/>
          <w:lang w:val="kk"/>
        </w:rPr>
      </w:pPr>
      <w:r w:rsidRPr="00727D0D">
        <w:rPr>
          <w:rFonts w:ascii="Times New Roman" w:hAnsi="Times New Roman"/>
          <w:bCs/>
          <w:i/>
          <w:iCs/>
          <w:sz w:val="28"/>
          <w:szCs w:val="32"/>
          <w:lang w:val="kk"/>
        </w:rPr>
        <w:t xml:space="preserve">Тіркеуден кейінгі зерттеулер </w:t>
      </w:r>
    </w:p>
    <w:p w14:paraId="252B0905" w14:textId="77777777" w:rsidR="008E74CF" w:rsidRPr="00F340D0" w:rsidRDefault="00297CEA" w:rsidP="008E74CF">
      <w:pPr>
        <w:spacing w:after="0" w:line="240" w:lineRule="auto"/>
        <w:jc w:val="both"/>
        <w:rPr>
          <w:rFonts w:ascii="Times New Roman" w:hAnsi="Times New Roman"/>
          <w:sz w:val="28"/>
          <w:szCs w:val="32"/>
          <w:lang w:val="kk"/>
        </w:rPr>
      </w:pPr>
      <w:r w:rsidRPr="00727D0D">
        <w:rPr>
          <w:rFonts w:ascii="Times New Roman" w:hAnsi="Times New Roman"/>
          <w:sz w:val="28"/>
          <w:szCs w:val="32"/>
          <w:lang w:val="kk"/>
        </w:rPr>
        <w:t>Тіркеуден кейінгі бақылаулардың жиілігі белгісіз (қолда бар деректер негізінде баға беру мүмкін емес).</w:t>
      </w:r>
    </w:p>
    <w:p w14:paraId="7F05C3AD" w14:textId="77777777" w:rsidR="008E74CF" w:rsidRPr="00F340D0" w:rsidRDefault="008E74CF" w:rsidP="008E74CF">
      <w:pPr>
        <w:spacing w:after="0" w:line="240" w:lineRule="auto"/>
        <w:jc w:val="both"/>
        <w:rPr>
          <w:rFonts w:ascii="Times New Roman" w:hAnsi="Times New Roman"/>
          <w:sz w:val="28"/>
          <w:szCs w:val="32"/>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40"/>
      </w:tblGrid>
      <w:tr w:rsidR="00BB1157" w14:paraId="286ACBA1" w14:textId="77777777" w:rsidTr="00A2324B">
        <w:tc>
          <w:tcPr>
            <w:tcW w:w="4643" w:type="dxa"/>
            <w:shd w:val="clear" w:color="auto" w:fill="auto"/>
          </w:tcPr>
          <w:p w14:paraId="1B30D343" w14:textId="77777777" w:rsidR="008E74CF" w:rsidRPr="00F340D0" w:rsidRDefault="00297CEA" w:rsidP="00A2324B">
            <w:pPr>
              <w:spacing w:after="0" w:line="240" w:lineRule="auto"/>
              <w:jc w:val="both"/>
              <w:rPr>
                <w:rFonts w:ascii="Times New Roman" w:hAnsi="Times New Roman"/>
                <w:b/>
                <w:bCs/>
                <w:sz w:val="28"/>
                <w:szCs w:val="28"/>
                <w:lang w:val="kk"/>
              </w:rPr>
            </w:pPr>
            <w:r w:rsidRPr="00727D0D">
              <w:rPr>
                <w:rFonts w:ascii="Times New Roman" w:hAnsi="Times New Roman"/>
                <w:b/>
                <w:bCs/>
                <w:sz w:val="28"/>
                <w:szCs w:val="28"/>
                <w:lang w:val="kk"/>
              </w:rPr>
              <w:t>MedDRA бойынша жүйелік-ағзалық жіктеу</w:t>
            </w:r>
          </w:p>
        </w:tc>
        <w:tc>
          <w:tcPr>
            <w:tcW w:w="4644" w:type="dxa"/>
            <w:shd w:val="clear" w:color="auto" w:fill="auto"/>
          </w:tcPr>
          <w:p w14:paraId="3B257E4B" w14:textId="77777777" w:rsidR="008E74CF" w:rsidRPr="00727D0D" w:rsidRDefault="00297CEA" w:rsidP="00A2324B">
            <w:pPr>
              <w:spacing w:after="0" w:line="240" w:lineRule="auto"/>
              <w:jc w:val="both"/>
              <w:rPr>
                <w:rFonts w:ascii="Times New Roman" w:hAnsi="Times New Roman"/>
                <w:b/>
                <w:bCs/>
                <w:sz w:val="28"/>
                <w:szCs w:val="28"/>
              </w:rPr>
            </w:pPr>
            <w:r w:rsidRPr="00727D0D">
              <w:rPr>
                <w:rFonts w:ascii="Times New Roman" w:hAnsi="Times New Roman"/>
                <w:b/>
                <w:bCs/>
                <w:sz w:val="28"/>
                <w:szCs w:val="28"/>
                <w:lang w:val="kk"/>
              </w:rPr>
              <w:t>Жағымсыз құбылыстар</w:t>
            </w:r>
          </w:p>
        </w:tc>
      </w:tr>
      <w:tr w:rsidR="00BB1157" w14:paraId="3EB6054C" w14:textId="77777777" w:rsidTr="00A2324B">
        <w:tc>
          <w:tcPr>
            <w:tcW w:w="4643" w:type="dxa"/>
            <w:shd w:val="clear" w:color="auto" w:fill="auto"/>
          </w:tcPr>
          <w:p w14:paraId="2412A4C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Инфекциялар мен инвазиялар</w:t>
            </w:r>
          </w:p>
        </w:tc>
        <w:tc>
          <w:tcPr>
            <w:tcW w:w="4644" w:type="dxa"/>
            <w:shd w:val="clear" w:color="auto" w:fill="auto"/>
          </w:tcPr>
          <w:p w14:paraId="7A49009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Жалғанжарғақшалы колит, олардың біреуі бактериологиялық түрде расталды (Clostridium difficile).</w:t>
            </w:r>
          </w:p>
          <w:p w14:paraId="5DA9BDC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Сепсис</w:t>
            </w:r>
          </w:p>
          <w:p w14:paraId="53E2A2C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Зең инфекциясы*</w:t>
            </w:r>
          </w:p>
          <w:p w14:paraId="388AC50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Вирустық инфекциялар</w:t>
            </w:r>
            <w:r w:rsidRPr="00727D0D">
              <w:rPr>
                <w:rFonts w:ascii="Times New Roman" w:hAnsi="Times New Roman"/>
                <w:sz w:val="28"/>
                <w:szCs w:val="28"/>
                <w:vertAlign w:val="superscript"/>
                <w:lang w:val="kk"/>
              </w:rPr>
              <w:t>+</w:t>
            </w:r>
          </w:p>
        </w:tc>
      </w:tr>
      <w:tr w:rsidR="00BB1157" w14:paraId="395C808E" w14:textId="77777777" w:rsidTr="00A2324B">
        <w:tc>
          <w:tcPr>
            <w:tcW w:w="4643" w:type="dxa"/>
            <w:shd w:val="clear" w:color="auto" w:fill="auto"/>
          </w:tcPr>
          <w:p w14:paraId="67F6075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Қан және лимфа жүйесі тарапынан бұзылулар</w:t>
            </w:r>
          </w:p>
        </w:tc>
        <w:tc>
          <w:tcPr>
            <w:tcW w:w="4644" w:type="dxa"/>
            <w:shd w:val="clear" w:color="auto" w:fill="auto"/>
          </w:tcPr>
          <w:p w14:paraId="64840FB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Антитромбоциттік антиденелермен байқалатын тромбоцитопения.</w:t>
            </w:r>
          </w:p>
        </w:tc>
      </w:tr>
      <w:tr w:rsidR="00BB1157" w14:paraId="37A392CE" w14:textId="77777777" w:rsidTr="00A2324B">
        <w:tc>
          <w:tcPr>
            <w:tcW w:w="4643" w:type="dxa"/>
            <w:shd w:val="clear" w:color="auto" w:fill="auto"/>
          </w:tcPr>
          <w:p w14:paraId="2CBC989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Иммундық жүйенің бұзылуы</w:t>
            </w:r>
          </w:p>
        </w:tc>
        <w:tc>
          <w:tcPr>
            <w:tcW w:w="4644" w:type="dxa"/>
            <w:shd w:val="clear" w:color="auto" w:fill="auto"/>
          </w:tcPr>
          <w:p w14:paraId="5A36738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Аса жоғары сезімталдық</w:t>
            </w:r>
          </w:p>
          <w:p w14:paraId="75FAF55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Анафилаксиялық реакция</w:t>
            </w:r>
          </w:p>
        </w:tc>
      </w:tr>
      <w:tr w:rsidR="00BB1157" w14:paraId="5418F9D3" w14:textId="77777777" w:rsidTr="00A2324B">
        <w:tc>
          <w:tcPr>
            <w:tcW w:w="4643" w:type="dxa"/>
            <w:shd w:val="clear" w:color="auto" w:fill="auto"/>
          </w:tcPr>
          <w:p w14:paraId="1943AE4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Зат алмасу және тамақтану бұзылулары</w:t>
            </w:r>
          </w:p>
        </w:tc>
        <w:tc>
          <w:tcPr>
            <w:tcW w:w="4644" w:type="dxa"/>
            <w:shd w:val="clear" w:color="auto" w:fill="auto"/>
          </w:tcPr>
          <w:p w14:paraId="54825BB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Сусыздану (диарея және құсу салдарынан)</w:t>
            </w:r>
          </w:p>
          <w:p w14:paraId="28049D73"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Гиповолемия</w:t>
            </w:r>
          </w:p>
        </w:tc>
      </w:tr>
      <w:tr w:rsidR="00BB1157" w14:paraId="3C5B0237" w14:textId="77777777" w:rsidTr="00A2324B">
        <w:tc>
          <w:tcPr>
            <w:tcW w:w="4643" w:type="dxa"/>
            <w:shd w:val="clear" w:color="auto" w:fill="auto"/>
          </w:tcPr>
          <w:p w14:paraId="5D35049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Жүйке жүйесінің бұзылуы</w:t>
            </w:r>
          </w:p>
        </w:tc>
        <w:tc>
          <w:tcPr>
            <w:tcW w:w="4644" w:type="dxa"/>
            <w:shd w:val="clear" w:color="auto" w:fill="auto"/>
          </w:tcPr>
          <w:p w14:paraId="55FD249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Сөйлеудің бұзылуы, әдетте, сипаты бойынша өтпелі, кейбір жағдайларда оқиға иринотекан инфузиясы кезінде немесе одан кейін көп ұзамай байқалатын холинергиялық синдроммен түсіндіріледі.</w:t>
            </w:r>
          </w:p>
          <w:p w14:paraId="6B72712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Парестезия</w:t>
            </w:r>
          </w:p>
          <w:p w14:paraId="206ACD8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Бұлшықеттердің еріксіз жиырылуы</w:t>
            </w:r>
          </w:p>
        </w:tc>
      </w:tr>
      <w:tr w:rsidR="00BB1157" w14:paraId="23551DA1" w14:textId="77777777" w:rsidTr="00A2324B">
        <w:tc>
          <w:tcPr>
            <w:tcW w:w="4643" w:type="dxa"/>
            <w:shd w:val="clear" w:color="auto" w:fill="auto"/>
          </w:tcPr>
          <w:p w14:paraId="0A70D9D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Жүрек-қантамыр жүйесі бұзылыстары</w:t>
            </w:r>
          </w:p>
        </w:tc>
        <w:tc>
          <w:tcPr>
            <w:tcW w:w="4644" w:type="dxa"/>
            <w:shd w:val="clear" w:color="auto" w:fill="auto"/>
          </w:tcPr>
          <w:p w14:paraId="2661C92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Гипертония (инфузия кезінде немесе одан  кейін)</w:t>
            </w:r>
          </w:p>
          <w:p w14:paraId="106D9710"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Жүрек-қантамыр жеткіліксіздігі</w:t>
            </w:r>
            <w:r w:rsidRPr="00727D0D">
              <w:rPr>
                <w:rFonts w:ascii="Times New Roman" w:hAnsi="Times New Roman"/>
                <w:sz w:val="28"/>
                <w:szCs w:val="28"/>
                <w:vertAlign w:val="superscript"/>
                <w:lang w:val="kk"/>
              </w:rPr>
              <w:t>++</w:t>
            </w:r>
          </w:p>
          <w:p w14:paraId="5748EA66"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lastRenderedPageBreak/>
              <w:t>Гипотония</w:t>
            </w:r>
            <w:r w:rsidRPr="00727D0D">
              <w:rPr>
                <w:rFonts w:ascii="Times New Roman" w:hAnsi="Times New Roman"/>
                <w:sz w:val="28"/>
                <w:szCs w:val="28"/>
                <w:vertAlign w:val="superscript"/>
                <w:lang w:val="kk"/>
              </w:rPr>
              <w:t>++</w:t>
            </w:r>
          </w:p>
        </w:tc>
      </w:tr>
      <w:tr w:rsidR="00BB1157" w14:paraId="642DEF3B" w14:textId="77777777" w:rsidTr="00A2324B">
        <w:tc>
          <w:tcPr>
            <w:tcW w:w="4643" w:type="dxa"/>
            <w:shd w:val="clear" w:color="auto" w:fill="auto"/>
          </w:tcPr>
          <w:p w14:paraId="135E636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lastRenderedPageBreak/>
              <w:t>Респираторлық, торакальдық және көкірекорталық бұзылыстар</w:t>
            </w:r>
          </w:p>
        </w:tc>
        <w:tc>
          <w:tcPr>
            <w:tcW w:w="4644" w:type="dxa"/>
            <w:shd w:val="clear" w:color="auto" w:fill="auto"/>
          </w:tcPr>
          <w:p w14:paraId="27187648"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Өкпе инфильтрациясымен білінетін, өкпенің интерстициальді ауруы, иринотеканмен ем кезінде сирек кездеседі; ентігу сияқты ерте әсерлері хабарланған.</w:t>
            </w:r>
          </w:p>
          <w:p w14:paraId="707E786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Ентігу</w:t>
            </w:r>
          </w:p>
          <w:p w14:paraId="3EDDF5D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Ықылық ату</w:t>
            </w:r>
          </w:p>
        </w:tc>
      </w:tr>
      <w:tr w:rsidR="00BB1157" w14:paraId="20AD1E78" w14:textId="77777777" w:rsidTr="00A2324B">
        <w:tc>
          <w:tcPr>
            <w:tcW w:w="4643" w:type="dxa"/>
            <w:shd w:val="clear" w:color="auto" w:fill="auto"/>
          </w:tcPr>
          <w:p w14:paraId="513FA35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Асқазан-ішек бұзылыстары</w:t>
            </w:r>
          </w:p>
        </w:tc>
        <w:tc>
          <w:tcPr>
            <w:tcW w:w="4644" w:type="dxa"/>
            <w:shd w:val="clear" w:color="auto" w:fill="auto"/>
          </w:tcPr>
          <w:p w14:paraId="116B2D6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Ішек бітелісі: алдында болатын колитсіз ішек бітелісі жағдайлары туралы да хабарланды.</w:t>
            </w:r>
          </w:p>
          <w:p w14:paraId="57BABE7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Мегаколон</w:t>
            </w:r>
          </w:p>
          <w:p w14:paraId="3229851E"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Асқазан-ішектен қан кету.</w:t>
            </w:r>
          </w:p>
          <w:p w14:paraId="7DE497FA"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Колиттер; кейбір жағдайларда колит ойықжарамен, қан кетумен, ішек бітелісімен немесе инфекциямен асқынған.</w:t>
            </w:r>
          </w:p>
          <w:p w14:paraId="45A747F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Тифлит</w:t>
            </w:r>
          </w:p>
          <w:p w14:paraId="3D81534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Ишемиялық колит.</w:t>
            </w:r>
          </w:p>
          <w:p w14:paraId="2563D41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Ойықжаралы колит</w:t>
            </w:r>
          </w:p>
          <w:p w14:paraId="01CCF47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Панкреатиндік ферменттердің симптоматикалық немесе симптомсыз жоғарылауы.</w:t>
            </w:r>
          </w:p>
          <w:p w14:paraId="2ECA445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Ішек тесілуі</w:t>
            </w:r>
          </w:p>
        </w:tc>
      </w:tr>
      <w:tr w:rsidR="00BB1157" w14:paraId="321AFDF3" w14:textId="77777777" w:rsidTr="00A2324B">
        <w:tc>
          <w:tcPr>
            <w:tcW w:w="4643" w:type="dxa"/>
            <w:shd w:val="clear" w:color="auto" w:fill="auto"/>
          </w:tcPr>
          <w:p w14:paraId="2C76B00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Гепатобилиарлық бұзылыстар</w:t>
            </w:r>
          </w:p>
        </w:tc>
        <w:tc>
          <w:tcPr>
            <w:tcW w:w="4644" w:type="dxa"/>
            <w:shd w:val="clear" w:color="auto" w:fill="auto"/>
          </w:tcPr>
          <w:p w14:paraId="604C76A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Стеатогепатит</w:t>
            </w:r>
          </w:p>
          <w:p w14:paraId="7070CAA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Бауыр стеатозы.</w:t>
            </w:r>
          </w:p>
        </w:tc>
      </w:tr>
      <w:tr w:rsidR="00BB1157" w14:paraId="3C0E6E9C" w14:textId="77777777" w:rsidTr="00A2324B">
        <w:tc>
          <w:tcPr>
            <w:tcW w:w="4643" w:type="dxa"/>
            <w:shd w:val="clear" w:color="auto" w:fill="auto"/>
          </w:tcPr>
          <w:p w14:paraId="508D1D3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 xml:space="preserve">Терінің және теріасты шелмайының аурулары </w:t>
            </w:r>
          </w:p>
        </w:tc>
        <w:tc>
          <w:tcPr>
            <w:tcW w:w="4644" w:type="dxa"/>
            <w:shd w:val="clear" w:color="auto" w:fill="auto"/>
          </w:tcPr>
          <w:p w14:paraId="50A744F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Тері реакциясы</w:t>
            </w:r>
          </w:p>
        </w:tc>
      </w:tr>
      <w:tr w:rsidR="00BB1157" w14:paraId="70E5599C" w14:textId="77777777" w:rsidTr="00A2324B">
        <w:tc>
          <w:tcPr>
            <w:tcW w:w="4643" w:type="dxa"/>
            <w:shd w:val="clear" w:color="auto" w:fill="auto"/>
          </w:tcPr>
          <w:p w14:paraId="10B62234"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Тірек-қимыл аппараты және дәнекер тін</w:t>
            </w:r>
          </w:p>
        </w:tc>
        <w:tc>
          <w:tcPr>
            <w:tcW w:w="4644" w:type="dxa"/>
            <w:shd w:val="clear" w:color="auto" w:fill="auto"/>
          </w:tcPr>
          <w:p w14:paraId="364ADBF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Құрысулар</w:t>
            </w:r>
          </w:p>
        </w:tc>
      </w:tr>
      <w:tr w:rsidR="00BB1157" w14:paraId="06E2416F" w14:textId="77777777" w:rsidTr="00A2324B">
        <w:tc>
          <w:tcPr>
            <w:tcW w:w="4643" w:type="dxa"/>
            <w:shd w:val="clear" w:color="auto" w:fill="auto"/>
          </w:tcPr>
          <w:p w14:paraId="29ABAF6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Бүйрек және несеп шығару жолдары тарапынан бұзылулар</w:t>
            </w:r>
          </w:p>
        </w:tc>
        <w:tc>
          <w:tcPr>
            <w:tcW w:w="4644" w:type="dxa"/>
            <w:shd w:val="clear" w:color="auto" w:fill="auto"/>
          </w:tcPr>
          <w:p w14:paraId="3A75EF3F"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Бүйрек жеткіліксіздігі және бүйректің жедел жеткіліксіздігі, әдетте, инфекцияланған және/немесе ауыр асқазан-ішек уыттылығының салдарынан жүдеген пациенттерде</w:t>
            </w:r>
            <w:r w:rsidRPr="00727D0D">
              <w:rPr>
                <w:rFonts w:ascii="Times New Roman" w:hAnsi="Times New Roman"/>
                <w:sz w:val="28"/>
                <w:szCs w:val="28"/>
                <w:vertAlign w:val="superscript"/>
                <w:lang w:val="kk"/>
              </w:rPr>
              <w:t xml:space="preserve"> ++</w:t>
            </w:r>
          </w:p>
          <w:p w14:paraId="5968070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Бүйрек жеткіліксіздігі</w:t>
            </w:r>
            <w:r w:rsidRPr="00727D0D">
              <w:rPr>
                <w:rFonts w:ascii="Times New Roman" w:hAnsi="Times New Roman"/>
                <w:sz w:val="28"/>
                <w:szCs w:val="28"/>
                <w:vertAlign w:val="superscript"/>
                <w:lang w:val="kk"/>
              </w:rPr>
              <w:t>++</w:t>
            </w:r>
          </w:p>
        </w:tc>
      </w:tr>
      <w:tr w:rsidR="00BB1157" w14:paraId="2E2B80BF" w14:textId="77777777" w:rsidTr="00A2324B">
        <w:tc>
          <w:tcPr>
            <w:tcW w:w="4643" w:type="dxa"/>
            <w:shd w:val="clear" w:color="auto" w:fill="auto"/>
          </w:tcPr>
          <w:p w14:paraId="30F4E10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Жалпы бұзылыстар және енгізген жердегі жағдайлар</w:t>
            </w:r>
          </w:p>
        </w:tc>
        <w:tc>
          <w:tcPr>
            <w:tcW w:w="4644" w:type="dxa"/>
            <w:shd w:val="clear" w:color="auto" w:fill="auto"/>
          </w:tcPr>
          <w:p w14:paraId="3D6A32C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Енгізген жердегі реакция</w:t>
            </w:r>
          </w:p>
        </w:tc>
      </w:tr>
      <w:tr w:rsidR="00BB1157" w14:paraId="04419E4F" w14:textId="77777777" w:rsidTr="00A2324B">
        <w:tc>
          <w:tcPr>
            <w:tcW w:w="4643" w:type="dxa"/>
            <w:shd w:val="clear" w:color="auto" w:fill="auto"/>
          </w:tcPr>
          <w:p w14:paraId="55F6E18C"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Зертханалық деректер</w:t>
            </w:r>
          </w:p>
        </w:tc>
        <w:tc>
          <w:tcPr>
            <w:tcW w:w="4644" w:type="dxa"/>
            <w:shd w:val="clear" w:color="auto" w:fill="auto"/>
          </w:tcPr>
          <w:p w14:paraId="7B37A09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Амилаза деңгейінің жоғарылауы</w:t>
            </w:r>
          </w:p>
          <w:p w14:paraId="201957F7"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Липазаның жоғарылауы</w:t>
            </w:r>
          </w:p>
          <w:p w14:paraId="075069BD"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Гипокалиемия</w:t>
            </w:r>
          </w:p>
          <w:p w14:paraId="32F52452"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lastRenderedPageBreak/>
              <w:t>Гипонатриемия, негізінен диареямен және құсумен байланысты.</w:t>
            </w:r>
          </w:p>
          <w:p w14:paraId="017F1B29"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Өте сирек жағдайларда көбінесе диареямен және құсумен байланысты гипонатриемия туралы хабарланды, бауырда үдемелі метастаз болмаған кездегі трансаминазаның (мысалы, АСТ және АЛТ) жоғарылауы.</w:t>
            </w:r>
          </w:p>
        </w:tc>
      </w:tr>
      <w:tr w:rsidR="00BB1157" w14:paraId="7DF45E2A" w14:textId="77777777" w:rsidTr="00A2324B">
        <w:trPr>
          <w:trHeight w:val="562"/>
        </w:trPr>
        <w:tc>
          <w:tcPr>
            <w:tcW w:w="9287" w:type="dxa"/>
            <w:gridSpan w:val="2"/>
            <w:shd w:val="clear" w:color="auto" w:fill="auto"/>
          </w:tcPr>
          <w:p w14:paraId="6462E8D5"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lastRenderedPageBreak/>
              <w:t xml:space="preserve">*мысалы, </w:t>
            </w:r>
            <w:r w:rsidRPr="00727D0D">
              <w:rPr>
                <w:rFonts w:ascii="Times New Roman" w:hAnsi="Times New Roman"/>
                <w:i/>
                <w:iCs/>
                <w:sz w:val="28"/>
                <w:szCs w:val="28"/>
                <w:lang w:val="kk"/>
              </w:rPr>
              <w:t>Pneumocystis jirovecii</w:t>
            </w:r>
            <w:r w:rsidRPr="00727D0D">
              <w:rPr>
                <w:rFonts w:ascii="Times New Roman" w:hAnsi="Times New Roman"/>
                <w:sz w:val="28"/>
                <w:szCs w:val="28"/>
                <w:lang w:val="kk"/>
              </w:rPr>
              <w:t xml:space="preserve"> пневмония, бронх-өкпе аспергиллезі, жүйелі кандидоз.</w:t>
            </w:r>
          </w:p>
          <w:p w14:paraId="418B1831"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lang w:val="kk"/>
              </w:rPr>
              <w:t>+мысалы, белдемелі герпес, тұмау, В гепатитінің реактивациясы, цитомегаловирустық колит.</w:t>
            </w:r>
          </w:p>
          <w:p w14:paraId="102BDE1B" w14:textId="77777777" w:rsidR="008E74CF" w:rsidRPr="00727D0D" w:rsidRDefault="00297CEA" w:rsidP="00A2324B">
            <w:pPr>
              <w:spacing w:after="0" w:line="240" w:lineRule="auto"/>
              <w:jc w:val="both"/>
              <w:rPr>
                <w:rFonts w:ascii="Times New Roman" w:hAnsi="Times New Roman"/>
                <w:sz w:val="28"/>
                <w:szCs w:val="28"/>
              </w:rPr>
            </w:pPr>
            <w:r w:rsidRPr="00727D0D">
              <w:rPr>
                <w:rFonts w:ascii="Times New Roman" w:hAnsi="Times New Roman"/>
                <w:sz w:val="28"/>
                <w:szCs w:val="28"/>
                <w:vertAlign w:val="superscript"/>
                <w:lang w:val="kk"/>
              </w:rPr>
              <w:t xml:space="preserve">++ </w:t>
            </w:r>
            <w:r w:rsidRPr="00727D0D">
              <w:rPr>
                <w:rFonts w:ascii="Times New Roman" w:hAnsi="Times New Roman"/>
                <w:sz w:val="28"/>
                <w:szCs w:val="28"/>
                <w:lang w:val="kk"/>
              </w:rPr>
              <w:t>Бүйрек жеткіліксіздігінің, артериялық гипотензияның немесе жүрек қанайналым жеткіліксіздігінің сирек жағдайлары диареямен және/немесе құсумен байланысты сусыздану көріністері, немесе сепсисі бар пациенттерде байқалды.</w:t>
            </w:r>
          </w:p>
        </w:tc>
      </w:tr>
      <w:bookmarkEnd w:id="12"/>
    </w:tbl>
    <w:p w14:paraId="22CD5F7B" w14:textId="77777777" w:rsidR="008E74CF" w:rsidRPr="00727D0D" w:rsidRDefault="008E74CF" w:rsidP="00844CE8">
      <w:pPr>
        <w:pStyle w:val="ac"/>
        <w:jc w:val="both"/>
        <w:rPr>
          <w:rFonts w:ascii="Times New Roman" w:hAnsi="Times New Roman"/>
          <w:b/>
          <w:color w:val="000000"/>
          <w:sz w:val="28"/>
        </w:rPr>
      </w:pPr>
    </w:p>
    <w:p w14:paraId="3BD4ACA7" w14:textId="77777777" w:rsidR="00827BB2" w:rsidRPr="00727D0D" w:rsidRDefault="00297CEA" w:rsidP="00844CE8">
      <w:pPr>
        <w:pStyle w:val="ac"/>
        <w:jc w:val="both"/>
        <w:rPr>
          <w:rFonts w:ascii="Times New Roman" w:hAnsi="Times New Roman"/>
          <w:b/>
          <w:color w:val="000000"/>
          <w:sz w:val="28"/>
          <w:szCs w:val="28"/>
        </w:rPr>
      </w:pPr>
      <w:r w:rsidRPr="00727D0D">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68F05AA2" w14:textId="77777777" w:rsidR="006703A5" w:rsidRPr="00727D0D" w:rsidRDefault="00297CEA" w:rsidP="005779DE">
      <w:pPr>
        <w:spacing w:after="0" w:line="240" w:lineRule="auto"/>
        <w:jc w:val="both"/>
        <w:rPr>
          <w:rFonts w:ascii="Times New Roman" w:hAnsi="Times New Roman"/>
          <w:sz w:val="28"/>
          <w:szCs w:val="28"/>
        </w:rPr>
      </w:pPr>
      <w:r w:rsidRPr="00727D0D">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67D1DC21" w14:textId="77777777" w:rsidR="006703A5" w:rsidRPr="00727D0D" w:rsidRDefault="007328FB" w:rsidP="006703A5">
      <w:pPr>
        <w:keepNext/>
        <w:spacing w:after="0" w:line="240" w:lineRule="auto"/>
        <w:jc w:val="both"/>
        <w:rPr>
          <w:rFonts w:ascii="Times New Roman" w:hAnsi="Times New Roman"/>
          <w:sz w:val="28"/>
          <w:szCs w:val="28"/>
        </w:rPr>
      </w:pPr>
      <w:hyperlink r:id="rId8" w:history="1">
        <w:r w:rsidR="00297CEA" w:rsidRPr="00727D0D">
          <w:rPr>
            <w:rStyle w:val="af"/>
            <w:rFonts w:ascii="Times New Roman" w:hAnsi="Times New Roman"/>
            <w:sz w:val="28"/>
            <w:szCs w:val="28"/>
            <w:lang w:val="kk"/>
          </w:rPr>
          <w:t>http://www.ndda.kz</w:t>
        </w:r>
      </w:hyperlink>
    </w:p>
    <w:p w14:paraId="78F6D1AD" w14:textId="77777777" w:rsidR="006703A5" w:rsidRPr="00727D0D" w:rsidRDefault="006703A5" w:rsidP="00844CE8">
      <w:pPr>
        <w:pStyle w:val="ac"/>
        <w:jc w:val="both"/>
        <w:rPr>
          <w:rFonts w:ascii="Times New Roman" w:hAnsi="Times New Roman"/>
          <w:color w:val="000000"/>
          <w:sz w:val="28"/>
          <w:szCs w:val="28"/>
        </w:rPr>
      </w:pPr>
    </w:p>
    <w:p w14:paraId="2FD6C512" w14:textId="77777777" w:rsidR="000C2C4B" w:rsidRPr="00727D0D" w:rsidRDefault="00297CEA" w:rsidP="00844CE8">
      <w:pPr>
        <w:pStyle w:val="ac"/>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Қосымша мәліметтер</w:t>
      </w:r>
    </w:p>
    <w:p w14:paraId="5D531AAE" w14:textId="77777777" w:rsidR="006B7A90" w:rsidRPr="00727D0D" w:rsidRDefault="00297CEA" w:rsidP="00844CE8">
      <w:pPr>
        <w:spacing w:after="0" w:line="240" w:lineRule="auto"/>
        <w:jc w:val="both"/>
        <w:rPr>
          <w:rFonts w:ascii="Times New Roman" w:hAnsi="Times New Roman"/>
          <w:i/>
          <w:sz w:val="28"/>
          <w:szCs w:val="28"/>
        </w:rPr>
      </w:pPr>
      <w:bookmarkStart w:id="13" w:name="2175220285"/>
      <w:r w:rsidRPr="00727D0D">
        <w:rPr>
          <w:rFonts w:ascii="Times New Roman" w:eastAsia="Times New Roman" w:hAnsi="Times New Roman"/>
          <w:b/>
          <w:i/>
          <w:sz w:val="28"/>
          <w:szCs w:val="28"/>
          <w:lang w:val="kk" w:eastAsia="ru-RU"/>
        </w:rPr>
        <w:t xml:space="preserve">Дәрілік препараттың құрамы </w:t>
      </w:r>
    </w:p>
    <w:p w14:paraId="58336891" w14:textId="77777777" w:rsidR="006B7A90" w:rsidRPr="00727D0D" w:rsidRDefault="00297CEA"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4" w:name="2175220286"/>
      <w:bookmarkEnd w:id="13"/>
      <w:r w:rsidRPr="00727D0D">
        <w:rPr>
          <w:rFonts w:ascii="Times New Roman" w:eastAsia="Times New Roman" w:hAnsi="Times New Roman"/>
          <w:bCs/>
          <w:sz w:val="28"/>
          <w:szCs w:val="28"/>
          <w:lang w:val="kk" w:eastAsia="ru-RU"/>
        </w:rPr>
        <w:t xml:space="preserve">1 мл препараттың құрамында </w:t>
      </w:r>
    </w:p>
    <w:p w14:paraId="473F56F8" w14:textId="77777777" w:rsidR="006B7A90" w:rsidRPr="00727D0D" w:rsidRDefault="00297CEA" w:rsidP="00892CB3">
      <w:pPr>
        <w:widowControl w:val="0"/>
        <w:autoSpaceDE w:val="0"/>
        <w:autoSpaceDN w:val="0"/>
        <w:spacing w:after="0" w:line="240" w:lineRule="auto"/>
        <w:jc w:val="both"/>
        <w:rPr>
          <w:rFonts w:ascii="Times New Roman" w:eastAsia="Times New Roman" w:hAnsi="Times New Roman"/>
          <w:bCs/>
          <w:iCs/>
          <w:sz w:val="28"/>
          <w:szCs w:val="28"/>
          <w:lang w:eastAsia="ru-RU"/>
        </w:rPr>
      </w:pPr>
      <w:r w:rsidRPr="00727D0D">
        <w:rPr>
          <w:rFonts w:ascii="Times New Roman" w:eastAsia="Times New Roman" w:hAnsi="Times New Roman"/>
          <w:bCs/>
          <w:i/>
          <w:sz w:val="28"/>
          <w:szCs w:val="28"/>
          <w:lang w:val="kk" w:eastAsia="ru-RU"/>
        </w:rPr>
        <w:t xml:space="preserve">белсенді зат - </w:t>
      </w:r>
      <w:r w:rsidR="00203499" w:rsidRPr="00203499">
        <w:rPr>
          <w:rFonts w:ascii="Times New Roman" w:eastAsia="Times New Roman" w:hAnsi="Times New Roman"/>
          <w:bCs/>
          <w:iCs/>
          <w:sz w:val="28"/>
          <w:szCs w:val="28"/>
          <w:lang w:val="kk" w:eastAsia="ru-RU"/>
        </w:rPr>
        <w:t>иринотекан гидрохлориді (иринотекан гидрохлориді тригидратына баламалы) 20 мг;</w:t>
      </w:r>
    </w:p>
    <w:p w14:paraId="63F84F31" w14:textId="77777777" w:rsidR="006B7A90" w:rsidRPr="00727D0D" w:rsidRDefault="00297CEA" w:rsidP="006B705E">
      <w:pPr>
        <w:autoSpaceDE w:val="0"/>
        <w:autoSpaceDN w:val="0"/>
        <w:adjustRightInd w:val="0"/>
        <w:spacing w:after="0" w:line="240" w:lineRule="auto"/>
        <w:jc w:val="both"/>
        <w:rPr>
          <w:rFonts w:ascii="Times New Roman" w:eastAsia="TimesNewRomanPSMT" w:hAnsi="Times New Roman"/>
          <w:sz w:val="28"/>
          <w:szCs w:val="28"/>
          <w:lang w:eastAsia="ru-RU"/>
        </w:rPr>
      </w:pPr>
      <w:r w:rsidRPr="00727D0D">
        <w:rPr>
          <w:rFonts w:ascii="Times New Roman" w:hAnsi="Times New Roman"/>
          <w:i/>
          <w:iCs/>
          <w:sz w:val="28"/>
          <w:szCs w:val="28"/>
          <w:lang w:val="kk"/>
        </w:rPr>
        <w:t xml:space="preserve">қосымша заттар: </w:t>
      </w:r>
      <w:r w:rsidR="00892CB3" w:rsidRPr="00727D0D">
        <w:rPr>
          <w:rFonts w:ascii="Times New Roman" w:eastAsia="TimesNewRomanPSMT" w:hAnsi="Times New Roman"/>
          <w:sz w:val="28"/>
          <w:szCs w:val="28"/>
          <w:lang w:val="kk" w:eastAsia="ru-RU"/>
        </w:rPr>
        <w:t>сорбитол, сүт қышқылы, натрий гидроксиді, хлорсутек қышқылы, инъекцияға арналған су, азот.</w:t>
      </w:r>
    </w:p>
    <w:p w14:paraId="4803089B" w14:textId="77777777" w:rsidR="007822BD" w:rsidRPr="00727D0D" w:rsidRDefault="007822BD" w:rsidP="006B705E">
      <w:pPr>
        <w:autoSpaceDE w:val="0"/>
        <w:autoSpaceDN w:val="0"/>
        <w:adjustRightInd w:val="0"/>
        <w:spacing w:after="0" w:line="240" w:lineRule="auto"/>
        <w:jc w:val="both"/>
        <w:rPr>
          <w:rFonts w:ascii="Times New Roman" w:eastAsia="TimesNewRomanPSMT" w:hAnsi="Times New Roman"/>
          <w:sz w:val="28"/>
          <w:szCs w:val="28"/>
          <w:lang w:eastAsia="ru-RU"/>
        </w:rPr>
      </w:pPr>
    </w:p>
    <w:p w14:paraId="376DFB2D" w14:textId="77777777" w:rsidR="006B7A90" w:rsidRPr="00727D0D" w:rsidRDefault="00297CEA" w:rsidP="00844CE8">
      <w:pPr>
        <w:spacing w:after="0" w:line="240" w:lineRule="auto"/>
        <w:jc w:val="both"/>
        <w:rPr>
          <w:rFonts w:ascii="Times New Roman" w:eastAsia="Times New Roman" w:hAnsi="Times New Roman"/>
          <w:b/>
          <w:iCs/>
          <w:sz w:val="28"/>
          <w:szCs w:val="28"/>
          <w:lang w:eastAsia="ru-RU"/>
        </w:rPr>
      </w:pPr>
      <w:r w:rsidRPr="00727D0D">
        <w:rPr>
          <w:rFonts w:ascii="Times New Roman" w:eastAsia="Times New Roman" w:hAnsi="Times New Roman"/>
          <w:b/>
          <w:iCs/>
          <w:sz w:val="28"/>
          <w:szCs w:val="28"/>
          <w:lang w:val="kk" w:eastAsia="ru-RU"/>
        </w:rPr>
        <w:t>Сыртқы түрінің, иісінің, дәмінің сипаттамасы</w:t>
      </w:r>
    </w:p>
    <w:bookmarkEnd w:id="14"/>
    <w:p w14:paraId="1149B129" w14:textId="77777777" w:rsidR="006B7A90" w:rsidRDefault="00297CEA" w:rsidP="00844CE8">
      <w:pPr>
        <w:pStyle w:val="ac"/>
        <w:jc w:val="both"/>
        <w:rPr>
          <w:rFonts w:ascii="Times New Roman" w:eastAsia="Times New Roman" w:hAnsi="Times New Roman"/>
          <w:bCs/>
          <w:snapToGrid w:val="0"/>
          <w:sz w:val="28"/>
          <w:szCs w:val="32"/>
          <w:lang w:eastAsia="ru-RU"/>
        </w:rPr>
      </w:pPr>
      <w:r w:rsidRPr="00203499">
        <w:rPr>
          <w:rFonts w:ascii="Times New Roman" w:eastAsia="Times New Roman" w:hAnsi="Times New Roman"/>
          <w:bCs/>
          <w:snapToGrid w:val="0"/>
          <w:sz w:val="28"/>
          <w:szCs w:val="32"/>
          <w:lang w:val="kk" w:eastAsia="ru-RU"/>
        </w:rPr>
        <w:t>Мөлдір ақшыл сары ерітінді.</w:t>
      </w:r>
    </w:p>
    <w:p w14:paraId="531E3421" w14:textId="77777777" w:rsidR="00203499" w:rsidRPr="00727D0D" w:rsidRDefault="00203499" w:rsidP="00844CE8">
      <w:pPr>
        <w:pStyle w:val="ac"/>
        <w:jc w:val="both"/>
        <w:rPr>
          <w:rFonts w:ascii="Times New Roman" w:eastAsia="Times New Roman" w:hAnsi="Times New Roman"/>
          <w:sz w:val="28"/>
          <w:szCs w:val="28"/>
          <w:lang w:eastAsia="ru-RU"/>
        </w:rPr>
      </w:pPr>
    </w:p>
    <w:p w14:paraId="48C2C5B5" w14:textId="77777777" w:rsidR="00C9308C" w:rsidRPr="00727D0D" w:rsidRDefault="00297CEA" w:rsidP="00844CE8">
      <w:pPr>
        <w:spacing w:after="0" w:line="240" w:lineRule="auto"/>
        <w:jc w:val="both"/>
        <w:rPr>
          <w:rFonts w:ascii="Times New Roman" w:eastAsia="Times New Roman" w:hAnsi="Times New Roman"/>
          <w:b/>
          <w:sz w:val="28"/>
          <w:szCs w:val="28"/>
          <w:lang w:eastAsia="ru-RU"/>
        </w:rPr>
      </w:pPr>
      <w:bookmarkStart w:id="15" w:name="2175220287"/>
      <w:r w:rsidRPr="00727D0D">
        <w:rPr>
          <w:rFonts w:ascii="Times New Roman" w:eastAsia="Times New Roman" w:hAnsi="Times New Roman"/>
          <w:b/>
          <w:sz w:val="28"/>
          <w:szCs w:val="28"/>
          <w:lang w:val="kk" w:eastAsia="ru-RU"/>
        </w:rPr>
        <w:t>Шығарылу түрі және қаптамасы</w:t>
      </w:r>
    </w:p>
    <w:p w14:paraId="732783EC" w14:textId="77777777" w:rsidR="00203499" w:rsidRPr="00203499" w:rsidRDefault="00297CEA" w:rsidP="00203499">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203499">
        <w:rPr>
          <w:rFonts w:ascii="Times New Roman" w:eastAsia="Microsoft Sans Serif" w:hAnsi="Times New Roman"/>
          <w:sz w:val="28"/>
          <w:szCs w:val="28"/>
          <w:lang w:val="kk" w:eastAsia="ru-RU" w:bidi="ru-RU"/>
        </w:rPr>
        <w:t xml:space="preserve">2 мл (2 мл үшін) немесе 5 мл (5 мл үшін) препараттан бромбутил резеңке тығындармен тығындалған және «flip-off» типті полипропилен дискісі бар </w:t>
      </w:r>
      <w:r w:rsidRPr="00203499">
        <w:rPr>
          <w:rFonts w:ascii="Times New Roman" w:eastAsia="Microsoft Sans Serif" w:hAnsi="Times New Roman"/>
          <w:sz w:val="28"/>
          <w:szCs w:val="28"/>
          <w:lang w:val="kk" w:eastAsia="ru-RU" w:bidi="ru-RU"/>
        </w:rPr>
        <w:lastRenderedPageBreak/>
        <w:t>алюминий тығыздағышпен желімделген, АҚШФ * бойынша I типті янтарь түстес құтыларға құйылады.</w:t>
      </w:r>
    </w:p>
    <w:p w14:paraId="4DFCE666" w14:textId="77777777" w:rsidR="00DF5CAC" w:rsidRDefault="00297CEA" w:rsidP="00203499">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203499">
        <w:rPr>
          <w:rFonts w:ascii="Times New Roman" w:eastAsia="Microsoft Sans Serif" w:hAnsi="Times New Roman"/>
          <w:sz w:val="28"/>
          <w:szCs w:val="28"/>
          <w:lang w:val="kk" w:eastAsia="ru-RU" w:bidi="ru-RU"/>
        </w:rPr>
        <w:t>1 құтыдан медициналық қолдану жөніндегі қазақ және орыс тілдеріндегі нұсқаулықпен бірге картон қорапшаға салынады.</w:t>
      </w:r>
    </w:p>
    <w:p w14:paraId="7A1FC605" w14:textId="77777777" w:rsidR="00203499" w:rsidRPr="00727D0D" w:rsidRDefault="00203499" w:rsidP="00203499">
      <w:pPr>
        <w:autoSpaceDE w:val="0"/>
        <w:autoSpaceDN w:val="0"/>
        <w:adjustRightInd w:val="0"/>
        <w:spacing w:after="0" w:line="240" w:lineRule="auto"/>
        <w:jc w:val="both"/>
        <w:rPr>
          <w:rFonts w:ascii="Times New Roman" w:eastAsia="Microsoft Sans Serif" w:hAnsi="Times New Roman"/>
          <w:sz w:val="28"/>
          <w:szCs w:val="28"/>
          <w:lang w:eastAsia="ru-RU" w:bidi="ru-RU"/>
        </w:rPr>
      </w:pPr>
    </w:p>
    <w:p w14:paraId="2FFCAE65" w14:textId="77777777" w:rsidR="00844CE8" w:rsidRPr="00727D0D" w:rsidRDefault="00297CEA"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 xml:space="preserve">Сақтау мерзімі </w:t>
      </w:r>
    </w:p>
    <w:p w14:paraId="0BBB26D8" w14:textId="77777777" w:rsidR="00892CB3" w:rsidRPr="00727D0D" w:rsidRDefault="00297CEA" w:rsidP="00844CE8">
      <w:pPr>
        <w:spacing w:after="0" w:line="240" w:lineRule="auto"/>
        <w:jc w:val="both"/>
        <w:rPr>
          <w:rFonts w:ascii="Times New Roman" w:hAnsi="Times New Roman"/>
          <w:sz w:val="28"/>
          <w:szCs w:val="28"/>
          <w:lang w:bidi="ru-RU"/>
        </w:rPr>
      </w:pPr>
      <w:r w:rsidRPr="00727D0D">
        <w:rPr>
          <w:rFonts w:ascii="Times New Roman" w:hAnsi="Times New Roman"/>
          <w:sz w:val="28"/>
          <w:szCs w:val="28"/>
          <w:lang w:val="kk" w:bidi="ru-RU"/>
        </w:rPr>
        <w:t>3 жыл.</w:t>
      </w:r>
    </w:p>
    <w:p w14:paraId="25CDF141" w14:textId="77777777" w:rsidR="000E01AB" w:rsidRPr="00727D0D" w:rsidRDefault="00297CEA" w:rsidP="00844CE8">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val="kk" w:eastAsia="ru-RU"/>
        </w:rPr>
        <w:t>Жарамдылық мерзімі өткеннен кейін қолдануға болмайды!</w:t>
      </w:r>
    </w:p>
    <w:p w14:paraId="68AD1AB6" w14:textId="77777777" w:rsidR="002E7DA4" w:rsidRPr="00727D0D" w:rsidRDefault="002E7DA4" w:rsidP="00844CE8">
      <w:pPr>
        <w:spacing w:after="0" w:line="240" w:lineRule="auto"/>
        <w:jc w:val="both"/>
        <w:rPr>
          <w:rFonts w:ascii="Times New Roman" w:eastAsia="Times New Roman" w:hAnsi="Times New Roman"/>
          <w:sz w:val="28"/>
          <w:szCs w:val="28"/>
          <w:lang w:eastAsia="ru-RU"/>
        </w:rPr>
      </w:pPr>
    </w:p>
    <w:p w14:paraId="53E698A0" w14:textId="77777777" w:rsidR="000E01AB" w:rsidRPr="00D75330" w:rsidRDefault="00297CEA" w:rsidP="00844CE8">
      <w:pPr>
        <w:spacing w:after="0" w:line="240" w:lineRule="auto"/>
        <w:jc w:val="both"/>
        <w:rPr>
          <w:rFonts w:ascii="Times New Roman" w:eastAsia="Times New Roman" w:hAnsi="Times New Roman"/>
          <w:b/>
          <w:i/>
          <w:sz w:val="28"/>
          <w:szCs w:val="28"/>
          <w:lang w:eastAsia="ru-RU"/>
        </w:rPr>
      </w:pPr>
      <w:bookmarkStart w:id="16" w:name="2175220288"/>
      <w:bookmarkEnd w:id="15"/>
      <w:r w:rsidRPr="00D75330">
        <w:rPr>
          <w:rFonts w:ascii="Times New Roman" w:eastAsia="Times New Roman" w:hAnsi="Times New Roman"/>
          <w:b/>
          <w:i/>
          <w:sz w:val="28"/>
          <w:szCs w:val="28"/>
          <w:lang w:val="kk" w:eastAsia="ru-RU"/>
        </w:rPr>
        <w:t>Сақтау шарттары</w:t>
      </w:r>
    </w:p>
    <w:p w14:paraId="507A0A2A" w14:textId="77777777" w:rsidR="00F75CBB" w:rsidRPr="00D75330" w:rsidRDefault="00297CEA" w:rsidP="00F75CBB">
      <w:pPr>
        <w:spacing w:after="0" w:line="240" w:lineRule="auto"/>
        <w:jc w:val="both"/>
        <w:rPr>
          <w:rFonts w:ascii="Times New Roman" w:hAnsi="Times New Roman"/>
          <w:sz w:val="28"/>
          <w:szCs w:val="28"/>
        </w:rPr>
      </w:pPr>
      <w:bookmarkStart w:id="17" w:name="2175220289"/>
      <w:bookmarkEnd w:id="16"/>
      <w:r w:rsidRPr="00D75330">
        <w:rPr>
          <w:rFonts w:ascii="Times New Roman" w:hAnsi="Times New Roman"/>
          <w:sz w:val="28"/>
          <w:szCs w:val="28"/>
          <w:lang w:val="kk"/>
        </w:rPr>
        <w:t xml:space="preserve">Жарықтан қорғалған жерде, 25°С-ден аспайтын температурада сақтау керек. </w:t>
      </w:r>
    </w:p>
    <w:p w14:paraId="74E4D781" w14:textId="77777777" w:rsidR="00F75CBB" w:rsidRPr="00D75330" w:rsidRDefault="00297CEA" w:rsidP="00F75CBB">
      <w:pPr>
        <w:spacing w:after="0" w:line="240" w:lineRule="auto"/>
        <w:jc w:val="both"/>
        <w:rPr>
          <w:rFonts w:ascii="Times New Roman" w:hAnsi="Times New Roman"/>
          <w:sz w:val="28"/>
          <w:szCs w:val="28"/>
        </w:rPr>
      </w:pPr>
      <w:r w:rsidRPr="00D75330">
        <w:rPr>
          <w:rFonts w:ascii="Times New Roman" w:hAnsi="Times New Roman"/>
          <w:sz w:val="28"/>
          <w:szCs w:val="28"/>
          <w:lang w:val="kk"/>
        </w:rPr>
        <w:t>Мұздатып қатыруға болмайды.</w:t>
      </w:r>
    </w:p>
    <w:p w14:paraId="0A2C5F6F" w14:textId="77777777" w:rsidR="009835C2" w:rsidRPr="00D75330" w:rsidRDefault="00297CEA" w:rsidP="00F75CBB">
      <w:pPr>
        <w:spacing w:after="0" w:line="240" w:lineRule="auto"/>
        <w:jc w:val="both"/>
        <w:rPr>
          <w:rFonts w:ascii="Times New Roman" w:hAnsi="Times New Roman"/>
          <w:sz w:val="28"/>
          <w:szCs w:val="28"/>
        </w:rPr>
      </w:pPr>
      <w:r w:rsidRPr="00D75330">
        <w:rPr>
          <w:rFonts w:ascii="Times New Roman" w:hAnsi="Times New Roman"/>
          <w:sz w:val="28"/>
          <w:szCs w:val="28"/>
          <w:lang w:val="kk"/>
        </w:rPr>
        <w:t>Ерітіндіні сұйылтқаннан кейін 25°С-ден аспайтын температурада 24 сағаттан асырмай және 2°С – 8°С температурада 48 сағаттан асырмай сақтау керек.</w:t>
      </w:r>
    </w:p>
    <w:p w14:paraId="6355EAA2" w14:textId="77777777" w:rsidR="00D14D61" w:rsidRPr="00727D0D" w:rsidRDefault="00297CEA" w:rsidP="009835C2">
      <w:pPr>
        <w:spacing w:after="0" w:line="240" w:lineRule="auto"/>
        <w:jc w:val="both"/>
        <w:rPr>
          <w:rFonts w:ascii="Times New Roman" w:hAnsi="Times New Roman"/>
          <w:sz w:val="28"/>
          <w:szCs w:val="28"/>
        </w:rPr>
      </w:pPr>
      <w:r w:rsidRPr="00D75330">
        <w:rPr>
          <w:rFonts w:ascii="Times New Roman" w:hAnsi="Times New Roman"/>
          <w:sz w:val="28"/>
          <w:szCs w:val="28"/>
          <w:lang w:val="kk"/>
        </w:rPr>
        <w:t>Балалардың қолы жетпейтін жерде сақтау керек!</w:t>
      </w:r>
    </w:p>
    <w:bookmarkEnd w:id="17"/>
    <w:p w14:paraId="7217235D" w14:textId="77777777" w:rsidR="006B7A90" w:rsidRPr="00727D0D" w:rsidRDefault="006B7A90" w:rsidP="00844CE8">
      <w:pPr>
        <w:pStyle w:val="ac"/>
        <w:jc w:val="both"/>
        <w:rPr>
          <w:rFonts w:ascii="Times New Roman" w:eastAsia="Times New Roman" w:hAnsi="Times New Roman"/>
          <w:sz w:val="28"/>
          <w:szCs w:val="28"/>
          <w:lang w:eastAsia="ru-RU"/>
        </w:rPr>
      </w:pPr>
    </w:p>
    <w:p w14:paraId="7CB490CE" w14:textId="77777777" w:rsidR="006C6558" w:rsidRPr="00727D0D" w:rsidRDefault="00297CEA" w:rsidP="00844CE8">
      <w:pPr>
        <w:spacing w:after="0" w:line="240" w:lineRule="auto"/>
        <w:jc w:val="both"/>
        <w:rPr>
          <w:rFonts w:ascii="Times New Roman" w:hAnsi="Times New Roman"/>
          <w:color w:val="000000"/>
          <w:sz w:val="28"/>
          <w:szCs w:val="28"/>
        </w:rPr>
      </w:pPr>
      <w:r w:rsidRPr="00727D0D">
        <w:rPr>
          <w:rFonts w:ascii="Times New Roman" w:hAnsi="Times New Roman"/>
          <w:b/>
          <w:color w:val="000000"/>
          <w:sz w:val="28"/>
          <w:szCs w:val="28"/>
          <w:lang w:val="kk"/>
        </w:rPr>
        <w:t xml:space="preserve">Дәріханалардан босатылу шарттары </w:t>
      </w:r>
    </w:p>
    <w:p w14:paraId="36242FF0" w14:textId="77777777" w:rsidR="00892CB3" w:rsidRPr="00727D0D" w:rsidRDefault="00297CEA" w:rsidP="00844CE8">
      <w:pPr>
        <w:spacing w:after="0" w:line="240" w:lineRule="auto"/>
        <w:jc w:val="both"/>
        <w:rPr>
          <w:rFonts w:ascii="Times New Roman" w:hAnsi="Times New Roman"/>
          <w:b/>
          <w:color w:val="000000"/>
          <w:sz w:val="28"/>
          <w:szCs w:val="28"/>
        </w:rPr>
      </w:pPr>
      <w:r w:rsidRPr="00727D0D">
        <w:rPr>
          <w:rFonts w:ascii="Times New Roman" w:hAnsi="Times New Roman"/>
          <w:color w:val="000000"/>
          <w:sz w:val="28"/>
          <w:szCs w:val="28"/>
          <w:lang w:val="kk"/>
        </w:rPr>
        <w:t>Рецепт арқылы</w:t>
      </w:r>
    </w:p>
    <w:p w14:paraId="254FE2D4" w14:textId="77777777" w:rsidR="006C6558" w:rsidRPr="00727D0D" w:rsidRDefault="006C6558" w:rsidP="00844CE8">
      <w:pPr>
        <w:spacing w:after="0" w:line="240" w:lineRule="auto"/>
        <w:jc w:val="both"/>
        <w:rPr>
          <w:rFonts w:ascii="Times New Roman" w:eastAsia="Times New Roman" w:hAnsi="Times New Roman"/>
          <w:b/>
          <w:sz w:val="28"/>
          <w:szCs w:val="28"/>
          <w:lang w:eastAsia="ru-RU"/>
        </w:rPr>
      </w:pPr>
    </w:p>
    <w:p w14:paraId="04BDB44A" w14:textId="77777777" w:rsidR="006B7A90" w:rsidRPr="00727D0D" w:rsidRDefault="00297CEA"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kk" w:eastAsia="ru-RU"/>
        </w:rPr>
        <w:t xml:space="preserve">Өндіруші туралы мәліметтер </w:t>
      </w:r>
    </w:p>
    <w:p w14:paraId="7CBA231E" w14:textId="77777777" w:rsidR="00811030" w:rsidRPr="00F340D0" w:rsidRDefault="00297CEA" w:rsidP="00811030">
      <w:pPr>
        <w:autoSpaceDE w:val="0"/>
        <w:autoSpaceDN w:val="0"/>
        <w:spacing w:after="0" w:line="240" w:lineRule="auto"/>
        <w:jc w:val="both"/>
        <w:rPr>
          <w:rFonts w:ascii="Times New Roman" w:hAnsi="Times New Roman"/>
          <w:color w:val="000000"/>
          <w:sz w:val="28"/>
          <w:szCs w:val="28"/>
          <w:lang w:val="en-US"/>
        </w:rPr>
      </w:pPr>
      <w:r w:rsidRPr="00811030">
        <w:rPr>
          <w:rFonts w:ascii="Times New Roman" w:hAnsi="Times New Roman"/>
          <w:color w:val="000000"/>
          <w:sz w:val="28"/>
          <w:szCs w:val="28"/>
          <w:lang w:val="kk"/>
        </w:rPr>
        <w:t xml:space="preserve">Gland Pharma Limited, </w:t>
      </w:r>
    </w:p>
    <w:p w14:paraId="0BE2247F" w14:textId="77777777" w:rsidR="00C23E0E" w:rsidRPr="00C23E0E" w:rsidRDefault="00C23E0E" w:rsidP="00C23E0E">
      <w:pPr>
        <w:autoSpaceDE w:val="0"/>
        <w:autoSpaceDN w:val="0"/>
        <w:spacing w:after="0" w:line="240" w:lineRule="auto"/>
        <w:jc w:val="both"/>
        <w:rPr>
          <w:rFonts w:ascii="Times New Roman" w:hAnsi="Times New Roman"/>
          <w:color w:val="000000"/>
          <w:sz w:val="28"/>
          <w:szCs w:val="28"/>
          <w:lang w:val="en-US"/>
        </w:rPr>
      </w:pPr>
      <w:r w:rsidRPr="00C23E0E">
        <w:rPr>
          <w:rFonts w:ascii="Times New Roman" w:hAnsi="Times New Roman"/>
          <w:color w:val="000000"/>
          <w:sz w:val="28"/>
          <w:szCs w:val="28"/>
          <w:lang w:val="en-US"/>
        </w:rPr>
        <w:t xml:space="preserve">Unit-II, Block C, Phase-I, Visakhapatnam Special Economic Zone (VSEZ), </w:t>
      </w:r>
      <w:proofErr w:type="spellStart"/>
      <w:r w:rsidRPr="00C23E0E">
        <w:rPr>
          <w:rFonts w:ascii="Times New Roman" w:hAnsi="Times New Roman"/>
          <w:color w:val="000000"/>
          <w:sz w:val="28"/>
          <w:szCs w:val="28"/>
          <w:lang w:val="en-US"/>
        </w:rPr>
        <w:t>Duvvada</w:t>
      </w:r>
      <w:proofErr w:type="spellEnd"/>
      <w:r w:rsidRPr="00C23E0E">
        <w:rPr>
          <w:rFonts w:ascii="Times New Roman" w:hAnsi="Times New Roman"/>
          <w:color w:val="000000"/>
          <w:sz w:val="28"/>
          <w:szCs w:val="28"/>
          <w:lang w:val="en-US"/>
        </w:rPr>
        <w:t xml:space="preserve">, Visakhapatnam - 530049. Andhra Pradesh, </w:t>
      </w:r>
      <w:r w:rsidRPr="00811030">
        <w:rPr>
          <w:rFonts w:ascii="Times New Roman" w:hAnsi="Times New Roman"/>
          <w:color w:val="000000"/>
          <w:sz w:val="28"/>
          <w:szCs w:val="28"/>
          <w:lang w:val="kk"/>
        </w:rPr>
        <w:t>Үндістан</w:t>
      </w:r>
      <w:r>
        <w:rPr>
          <w:rFonts w:ascii="Times New Roman" w:hAnsi="Times New Roman"/>
          <w:color w:val="000000"/>
          <w:sz w:val="28"/>
          <w:szCs w:val="28"/>
          <w:lang w:val="kk"/>
        </w:rPr>
        <w:t>.</w:t>
      </w:r>
    </w:p>
    <w:p w14:paraId="7D9ED381" w14:textId="77777777" w:rsidR="00C23E0E" w:rsidRPr="00C23E0E" w:rsidRDefault="00C23E0E" w:rsidP="00C23E0E">
      <w:pPr>
        <w:autoSpaceDE w:val="0"/>
        <w:autoSpaceDN w:val="0"/>
        <w:spacing w:after="0" w:line="240" w:lineRule="auto"/>
        <w:jc w:val="both"/>
        <w:rPr>
          <w:rFonts w:ascii="Times New Roman" w:hAnsi="Times New Roman"/>
          <w:color w:val="000000"/>
          <w:sz w:val="28"/>
          <w:szCs w:val="28"/>
          <w:lang w:val="en-US"/>
        </w:rPr>
      </w:pPr>
      <w:r w:rsidRPr="00C23E0E">
        <w:rPr>
          <w:rFonts w:ascii="Times New Roman" w:hAnsi="Times New Roman"/>
          <w:color w:val="000000"/>
          <w:sz w:val="28"/>
          <w:szCs w:val="28"/>
        </w:rPr>
        <w:t>Тел</w:t>
      </w:r>
      <w:r w:rsidRPr="00C23E0E">
        <w:rPr>
          <w:rFonts w:ascii="Times New Roman" w:hAnsi="Times New Roman"/>
          <w:color w:val="000000"/>
          <w:sz w:val="28"/>
          <w:szCs w:val="28"/>
          <w:lang w:val="en-US"/>
        </w:rPr>
        <w:t xml:space="preserve">. +91-891-2747657, +91-891-2548312, +91-891-2548313, </w:t>
      </w:r>
    </w:p>
    <w:p w14:paraId="512504FB" w14:textId="77777777" w:rsidR="00C23E0E" w:rsidRPr="00C23E0E" w:rsidRDefault="00C23E0E" w:rsidP="00C23E0E">
      <w:pPr>
        <w:autoSpaceDE w:val="0"/>
        <w:autoSpaceDN w:val="0"/>
        <w:spacing w:after="0" w:line="240" w:lineRule="auto"/>
        <w:jc w:val="both"/>
        <w:rPr>
          <w:rFonts w:ascii="Times New Roman" w:hAnsi="Times New Roman"/>
          <w:color w:val="000000"/>
          <w:sz w:val="28"/>
          <w:szCs w:val="28"/>
          <w:lang w:val="en-US"/>
        </w:rPr>
      </w:pPr>
      <w:r w:rsidRPr="00C23E0E">
        <w:rPr>
          <w:rFonts w:ascii="Times New Roman" w:hAnsi="Times New Roman"/>
          <w:color w:val="000000"/>
          <w:sz w:val="28"/>
          <w:szCs w:val="28"/>
        </w:rPr>
        <w:t>факс</w:t>
      </w:r>
      <w:r w:rsidRPr="00C23E0E">
        <w:rPr>
          <w:rFonts w:ascii="Times New Roman" w:hAnsi="Times New Roman"/>
          <w:color w:val="000000"/>
          <w:sz w:val="28"/>
          <w:szCs w:val="28"/>
          <w:lang w:val="en-US"/>
        </w:rPr>
        <w:t xml:space="preserve"> +91-891-2517658</w:t>
      </w:r>
    </w:p>
    <w:p w14:paraId="143CFA9C" w14:textId="77777777" w:rsidR="00C23E0E" w:rsidRPr="00C23E0E" w:rsidRDefault="00C23E0E" w:rsidP="00C23E0E">
      <w:pPr>
        <w:autoSpaceDE w:val="0"/>
        <w:autoSpaceDN w:val="0"/>
        <w:spacing w:after="0" w:line="240" w:lineRule="auto"/>
        <w:jc w:val="both"/>
        <w:rPr>
          <w:rFonts w:ascii="Times New Roman" w:hAnsi="Times New Roman"/>
          <w:color w:val="000000"/>
          <w:sz w:val="28"/>
          <w:szCs w:val="28"/>
          <w:lang w:val="en-US"/>
        </w:rPr>
      </w:pPr>
      <w:r w:rsidRPr="00C23E0E">
        <w:rPr>
          <w:rFonts w:ascii="Times New Roman" w:hAnsi="Times New Roman"/>
          <w:color w:val="000000"/>
          <w:sz w:val="28"/>
          <w:szCs w:val="28"/>
          <w:lang w:val="en-US"/>
        </w:rPr>
        <w:t xml:space="preserve">e-mail: </w:t>
      </w:r>
      <w:hyperlink r:id="rId9" w:history="1">
        <w:r w:rsidRPr="00C23E0E">
          <w:rPr>
            <w:rStyle w:val="af"/>
            <w:rFonts w:ascii="Times New Roman" w:hAnsi="Times New Roman"/>
            <w:sz w:val="28"/>
            <w:szCs w:val="28"/>
            <w:lang w:val="en-US"/>
          </w:rPr>
          <w:t>gland@glandpharma.com</w:t>
        </w:r>
      </w:hyperlink>
    </w:p>
    <w:p w14:paraId="0266FBF5" w14:textId="77777777" w:rsidR="00811030" w:rsidRPr="00F340D0" w:rsidRDefault="00811030" w:rsidP="00811030">
      <w:pPr>
        <w:autoSpaceDE w:val="0"/>
        <w:autoSpaceDN w:val="0"/>
        <w:spacing w:after="0" w:line="240" w:lineRule="auto"/>
        <w:jc w:val="both"/>
        <w:rPr>
          <w:rFonts w:ascii="Times New Roman" w:hAnsi="Times New Roman"/>
          <w:color w:val="000000"/>
          <w:sz w:val="28"/>
          <w:szCs w:val="28"/>
          <w:lang w:val="en-US"/>
        </w:rPr>
      </w:pPr>
    </w:p>
    <w:p w14:paraId="43DC8BD8" w14:textId="77777777" w:rsidR="00D76048" w:rsidRPr="00F340D0" w:rsidRDefault="00297CEA" w:rsidP="00844CE8">
      <w:pPr>
        <w:autoSpaceDE w:val="0"/>
        <w:autoSpaceDN w:val="0"/>
        <w:spacing w:after="0" w:line="240" w:lineRule="auto"/>
        <w:jc w:val="both"/>
        <w:rPr>
          <w:rFonts w:ascii="Times New Roman" w:eastAsia="Times New Roman" w:hAnsi="Times New Roman"/>
          <w:b/>
          <w:sz w:val="28"/>
          <w:szCs w:val="28"/>
          <w:lang w:val="en-US" w:eastAsia="ru-RU"/>
        </w:rPr>
      </w:pPr>
      <w:r w:rsidRPr="00727D0D">
        <w:rPr>
          <w:rFonts w:ascii="Times New Roman" w:eastAsia="Times New Roman" w:hAnsi="Times New Roman"/>
          <w:b/>
          <w:sz w:val="28"/>
          <w:szCs w:val="28"/>
          <w:lang w:val="kk" w:eastAsia="ru-RU"/>
        </w:rPr>
        <w:t>Тіркеу куәлігінің ұстаушысы</w:t>
      </w:r>
    </w:p>
    <w:p w14:paraId="7EEDACE4" w14:textId="77777777" w:rsidR="00874CBE" w:rsidRPr="00F340D0" w:rsidRDefault="00297CEA" w:rsidP="00874CBE">
      <w:pPr>
        <w:spacing w:after="0" w:line="240" w:lineRule="auto"/>
        <w:jc w:val="both"/>
        <w:rPr>
          <w:rFonts w:ascii="Times New Roman" w:eastAsia="Microsoft Sans Serif" w:hAnsi="Times New Roman"/>
          <w:bCs/>
          <w:iCs/>
          <w:sz w:val="28"/>
          <w:szCs w:val="28"/>
          <w:lang w:val="en-US" w:eastAsia="ru-RU" w:bidi="ru-RU"/>
        </w:rPr>
      </w:pPr>
      <w:r w:rsidRPr="00874CBE">
        <w:rPr>
          <w:rFonts w:ascii="Times New Roman" w:eastAsia="Microsoft Sans Serif" w:hAnsi="Times New Roman"/>
          <w:bCs/>
          <w:iCs/>
          <w:sz w:val="28"/>
          <w:szCs w:val="28"/>
          <w:lang w:val="kk" w:eastAsia="ru-RU" w:bidi="ru-RU"/>
        </w:rPr>
        <w:t xml:space="preserve">«Rogers Pharma» ЖШС, Қазақстан Республикасы, 050043, </w:t>
      </w:r>
    </w:p>
    <w:p w14:paraId="7F0EAC59" w14:textId="77777777" w:rsidR="00874CBE" w:rsidRPr="00874CBE" w:rsidRDefault="00297CEA" w:rsidP="00874CBE">
      <w:pPr>
        <w:spacing w:after="0" w:line="240" w:lineRule="auto"/>
        <w:jc w:val="both"/>
        <w:rPr>
          <w:rFonts w:ascii="Times New Roman" w:eastAsia="Microsoft Sans Serif" w:hAnsi="Times New Roman"/>
          <w:bCs/>
          <w:iCs/>
          <w:sz w:val="28"/>
          <w:szCs w:val="28"/>
          <w:lang w:eastAsia="ru-RU" w:bidi="ru-RU"/>
        </w:rPr>
      </w:pPr>
      <w:r w:rsidRPr="00874CBE">
        <w:rPr>
          <w:rFonts w:ascii="Times New Roman" w:eastAsia="Microsoft Sans Serif" w:hAnsi="Times New Roman"/>
          <w:bCs/>
          <w:iCs/>
          <w:sz w:val="28"/>
          <w:szCs w:val="28"/>
          <w:lang w:val="kk" w:eastAsia="ru-RU" w:bidi="ru-RU"/>
        </w:rPr>
        <w:t xml:space="preserve">Алматы қ., Мирас ш.а., 157, 2-блок, </w:t>
      </w:r>
      <w:r w:rsidR="00D75330">
        <w:rPr>
          <w:rFonts w:ascii="Times New Roman" w:eastAsia="Microsoft Sans Serif" w:hAnsi="Times New Roman"/>
          <w:bCs/>
          <w:iCs/>
          <w:sz w:val="28"/>
          <w:szCs w:val="28"/>
          <w:lang w:val="kk" w:eastAsia="ru-RU" w:bidi="ru-RU"/>
        </w:rPr>
        <w:t>819</w:t>
      </w:r>
      <w:r w:rsidR="00D75330" w:rsidRPr="00D75330">
        <w:rPr>
          <w:rFonts w:ascii="Times New Roman" w:eastAsia="Microsoft Sans Serif" w:hAnsi="Times New Roman"/>
          <w:bCs/>
          <w:iCs/>
          <w:sz w:val="28"/>
          <w:szCs w:val="28"/>
          <w:lang w:val="kk" w:eastAsia="ru-RU" w:bidi="ru-RU"/>
        </w:rPr>
        <w:t xml:space="preserve"> </w:t>
      </w:r>
      <w:r w:rsidR="00D75330" w:rsidRPr="00874CBE">
        <w:rPr>
          <w:rFonts w:ascii="Times New Roman" w:eastAsia="Microsoft Sans Serif" w:hAnsi="Times New Roman"/>
          <w:bCs/>
          <w:iCs/>
          <w:sz w:val="28"/>
          <w:szCs w:val="28"/>
          <w:lang w:val="kk" w:eastAsia="ru-RU" w:bidi="ru-RU"/>
        </w:rPr>
        <w:t>т. е.</w:t>
      </w:r>
    </w:p>
    <w:p w14:paraId="70F6C68B" w14:textId="77777777" w:rsidR="00FC42C0" w:rsidRDefault="00297CEA" w:rsidP="00874CBE">
      <w:pPr>
        <w:spacing w:after="0" w:line="240" w:lineRule="auto"/>
        <w:jc w:val="both"/>
        <w:rPr>
          <w:rFonts w:ascii="Times New Roman" w:eastAsia="Microsoft Sans Serif" w:hAnsi="Times New Roman"/>
          <w:bCs/>
          <w:iCs/>
          <w:sz w:val="28"/>
          <w:szCs w:val="28"/>
          <w:lang w:eastAsia="ru-RU" w:bidi="ru-RU"/>
        </w:rPr>
      </w:pPr>
      <w:r w:rsidRPr="00874CBE">
        <w:rPr>
          <w:rFonts w:ascii="Times New Roman" w:eastAsia="Microsoft Sans Serif" w:hAnsi="Times New Roman"/>
          <w:bCs/>
          <w:iCs/>
          <w:sz w:val="28"/>
          <w:szCs w:val="28"/>
          <w:lang w:val="kk" w:eastAsia="ru-RU" w:bidi="ru-RU"/>
        </w:rPr>
        <w:t xml:space="preserve">Тел. +7 727 311-81-96/97, </w:t>
      </w:r>
      <w:hyperlink r:id="rId10" w:history="1">
        <w:r w:rsidRPr="008A0F65">
          <w:rPr>
            <w:rStyle w:val="af"/>
            <w:rFonts w:ascii="Times New Roman" w:eastAsia="Microsoft Sans Serif" w:hAnsi="Times New Roman"/>
            <w:bCs/>
            <w:iCs/>
            <w:sz w:val="28"/>
            <w:szCs w:val="28"/>
            <w:lang w:val="kk" w:eastAsia="ru-RU" w:bidi="ru-RU"/>
          </w:rPr>
          <w:t>office.secretary@rogersgroup.in</w:t>
        </w:r>
      </w:hyperlink>
    </w:p>
    <w:p w14:paraId="462BB835" w14:textId="77777777" w:rsidR="00874CBE" w:rsidRPr="00521354" w:rsidRDefault="00874CBE" w:rsidP="00874CBE">
      <w:pPr>
        <w:spacing w:after="0" w:line="240" w:lineRule="auto"/>
        <w:jc w:val="both"/>
        <w:rPr>
          <w:rFonts w:ascii="Times New Roman" w:eastAsia="Microsoft Sans Serif" w:hAnsi="Times New Roman"/>
          <w:sz w:val="28"/>
          <w:szCs w:val="28"/>
          <w:lang w:eastAsia="ru-RU" w:bidi="ru-RU"/>
        </w:rPr>
      </w:pPr>
    </w:p>
    <w:p w14:paraId="1646B0E2" w14:textId="77777777" w:rsidR="008013E1" w:rsidRPr="008013E1" w:rsidRDefault="008013E1" w:rsidP="008013E1">
      <w:pPr>
        <w:spacing w:after="0" w:line="240" w:lineRule="auto"/>
        <w:jc w:val="both"/>
        <w:rPr>
          <w:rFonts w:ascii="Times New Roman" w:eastAsia="Microsoft Sans Serif" w:hAnsi="Times New Roman"/>
          <w:b/>
          <w:bCs/>
          <w:iCs/>
          <w:sz w:val="28"/>
          <w:szCs w:val="28"/>
          <w:lang w:val="kk-KZ" w:eastAsia="ru-RU" w:bidi="ru-RU"/>
        </w:rPr>
      </w:pPr>
      <w:r w:rsidRPr="008013E1">
        <w:rPr>
          <w:rFonts w:ascii="Times New Roman" w:eastAsia="Microsoft Sans Serif" w:hAnsi="Times New Roman"/>
          <w:b/>
          <w:bCs/>
          <w:iCs/>
          <w:sz w:val="28"/>
          <w:szCs w:val="28"/>
          <w:lang w:val="kk-KZ" w:eastAsia="ru-RU" w:bidi="ru-RU"/>
        </w:rPr>
        <w:t>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және байланыс деректері (телефон, факс, электронды пошта)</w:t>
      </w:r>
    </w:p>
    <w:p w14:paraId="30FC8999" w14:textId="77777777" w:rsidR="008013E1" w:rsidRPr="008013E1" w:rsidRDefault="008013E1" w:rsidP="008013E1">
      <w:pPr>
        <w:spacing w:after="0" w:line="240" w:lineRule="auto"/>
        <w:jc w:val="both"/>
        <w:rPr>
          <w:rFonts w:ascii="Times New Roman" w:eastAsia="Microsoft Sans Serif" w:hAnsi="Times New Roman"/>
          <w:bCs/>
          <w:iCs/>
          <w:sz w:val="28"/>
          <w:szCs w:val="28"/>
          <w:lang w:val="kk-KZ" w:eastAsia="ru-RU" w:bidi="ru-RU"/>
        </w:rPr>
      </w:pPr>
      <w:r w:rsidRPr="008013E1">
        <w:rPr>
          <w:rFonts w:ascii="Times New Roman" w:eastAsia="Microsoft Sans Serif" w:hAnsi="Times New Roman"/>
          <w:bCs/>
          <w:iCs/>
          <w:sz w:val="28"/>
          <w:szCs w:val="28"/>
          <w:lang w:val="kk-KZ" w:eastAsia="ru-RU" w:bidi="ru-RU"/>
        </w:rPr>
        <w:t>«Rogers Pharma» ЖШС, Қазақстан, 050043, Алматы қ., Мирас ықш. ауд., 157, 819</w:t>
      </w:r>
      <w:r w:rsidR="00D75330" w:rsidRPr="00D75330">
        <w:rPr>
          <w:rFonts w:ascii="Times New Roman" w:eastAsia="Microsoft Sans Serif" w:hAnsi="Times New Roman"/>
          <w:bCs/>
          <w:iCs/>
          <w:sz w:val="28"/>
          <w:szCs w:val="28"/>
          <w:lang w:val="kk-KZ" w:eastAsia="ru-RU" w:bidi="ru-RU"/>
        </w:rPr>
        <w:t xml:space="preserve"> </w:t>
      </w:r>
      <w:r w:rsidR="00D75330" w:rsidRPr="008013E1">
        <w:rPr>
          <w:rFonts w:ascii="Times New Roman" w:eastAsia="Microsoft Sans Serif" w:hAnsi="Times New Roman"/>
          <w:bCs/>
          <w:iCs/>
          <w:sz w:val="28"/>
          <w:szCs w:val="28"/>
          <w:lang w:val="kk-KZ" w:eastAsia="ru-RU" w:bidi="ru-RU"/>
        </w:rPr>
        <w:t>т.е.</w:t>
      </w:r>
      <w:r w:rsidR="00D75330">
        <w:rPr>
          <w:rFonts w:ascii="Times New Roman" w:eastAsia="Microsoft Sans Serif" w:hAnsi="Times New Roman"/>
          <w:bCs/>
          <w:iCs/>
          <w:sz w:val="28"/>
          <w:szCs w:val="28"/>
          <w:lang w:val="kk-KZ" w:eastAsia="ru-RU" w:bidi="ru-RU"/>
        </w:rPr>
        <w:t xml:space="preserve"> </w:t>
      </w:r>
      <w:r w:rsidRPr="008013E1">
        <w:rPr>
          <w:rFonts w:ascii="Times New Roman" w:eastAsia="Microsoft Sans Serif" w:hAnsi="Times New Roman"/>
          <w:bCs/>
          <w:iCs/>
          <w:sz w:val="28"/>
          <w:szCs w:val="28"/>
          <w:lang w:val="kk-KZ" w:eastAsia="ru-RU" w:bidi="ru-RU"/>
        </w:rPr>
        <w:t xml:space="preserve">Тел. (727) 311-81-96/97, e-mail: </w:t>
      </w:r>
      <w:hyperlink r:id="rId11" w:history="1">
        <w:r w:rsidRPr="008013E1">
          <w:rPr>
            <w:rStyle w:val="af"/>
            <w:rFonts w:ascii="Times New Roman" w:eastAsia="Microsoft Sans Serif" w:hAnsi="Times New Roman"/>
            <w:bCs/>
            <w:iCs/>
            <w:sz w:val="28"/>
            <w:szCs w:val="28"/>
            <w:lang w:val="kk-KZ" w:eastAsia="ru-RU" w:bidi="ru-RU"/>
          </w:rPr>
          <w:t>office.secretary@rogersgroup.in</w:t>
        </w:r>
      </w:hyperlink>
    </w:p>
    <w:p w14:paraId="63376E99" w14:textId="77777777" w:rsidR="008013E1" w:rsidRPr="008013E1" w:rsidRDefault="008013E1" w:rsidP="008013E1">
      <w:pPr>
        <w:spacing w:after="0" w:line="240" w:lineRule="auto"/>
        <w:jc w:val="both"/>
        <w:rPr>
          <w:rFonts w:ascii="Times New Roman" w:eastAsia="Microsoft Sans Serif" w:hAnsi="Times New Roman"/>
          <w:bCs/>
          <w:iCs/>
          <w:sz w:val="28"/>
          <w:szCs w:val="28"/>
          <w:lang w:val="kk-KZ" w:eastAsia="ru-RU" w:bidi="ru-RU"/>
        </w:rPr>
      </w:pPr>
    </w:p>
    <w:p w14:paraId="609AD060" w14:textId="77777777" w:rsidR="008013E1" w:rsidRPr="008013E1" w:rsidRDefault="008013E1" w:rsidP="008013E1">
      <w:pPr>
        <w:spacing w:after="0" w:line="240" w:lineRule="auto"/>
        <w:jc w:val="both"/>
        <w:rPr>
          <w:rFonts w:ascii="Times New Roman" w:eastAsia="Microsoft Sans Serif" w:hAnsi="Times New Roman"/>
          <w:b/>
          <w:bCs/>
          <w:iCs/>
          <w:sz w:val="28"/>
          <w:szCs w:val="28"/>
          <w:lang w:val="kk-KZ" w:eastAsia="ru-RU" w:bidi="ru-RU"/>
        </w:rPr>
      </w:pPr>
      <w:r w:rsidRPr="008013E1">
        <w:rPr>
          <w:rFonts w:ascii="Times New Roman" w:eastAsia="Microsoft Sans Serif" w:hAnsi="Times New Roman"/>
          <w:b/>
          <w:bCs/>
          <w:iCs/>
          <w:sz w:val="28"/>
          <w:szCs w:val="28"/>
          <w:lang w:val="kk-KZ" w:eastAsia="ru-RU" w:bidi="ru-RU"/>
        </w:rPr>
        <w:t>Қазақстан Республикасы аумағында дәрілік заттың тіркеуден кейінгі қауіпсіздігін қадағалауға жауапты ұйымның  атауы, мекенжайы</w:t>
      </w:r>
      <w:r w:rsidRPr="008013E1">
        <w:rPr>
          <w:rFonts w:ascii="Times New Roman" w:eastAsia="Microsoft Sans Serif" w:hAnsi="Times New Roman"/>
          <w:b/>
          <w:bCs/>
          <w:i/>
          <w:iCs/>
          <w:sz w:val="28"/>
          <w:szCs w:val="28"/>
          <w:lang w:val="kk-KZ" w:eastAsia="ru-RU" w:bidi="ru-RU"/>
        </w:rPr>
        <w:t xml:space="preserve"> </w:t>
      </w:r>
      <w:r w:rsidRPr="008013E1">
        <w:rPr>
          <w:rFonts w:ascii="Times New Roman" w:eastAsia="Microsoft Sans Serif" w:hAnsi="Times New Roman"/>
          <w:b/>
          <w:bCs/>
          <w:iCs/>
          <w:sz w:val="28"/>
          <w:szCs w:val="28"/>
          <w:lang w:val="kk-KZ" w:eastAsia="ru-RU" w:bidi="ru-RU"/>
        </w:rPr>
        <w:t>және байланыс деректері (телефон, факс, электронды пошта)</w:t>
      </w:r>
      <w:r w:rsidRPr="008013E1">
        <w:rPr>
          <w:rFonts w:ascii="Times New Roman" w:eastAsia="Microsoft Sans Serif" w:hAnsi="Times New Roman"/>
          <w:b/>
          <w:bCs/>
          <w:iCs/>
          <w:sz w:val="28"/>
          <w:szCs w:val="28"/>
          <w:lang w:val="de-DE" w:eastAsia="ru-RU" w:bidi="ru-RU"/>
        </w:rPr>
        <w:t xml:space="preserve"> </w:t>
      </w:r>
    </w:p>
    <w:p w14:paraId="2E38E930" w14:textId="77777777" w:rsidR="008013E1" w:rsidRPr="008013E1" w:rsidRDefault="008013E1" w:rsidP="008013E1">
      <w:pPr>
        <w:spacing w:after="0" w:line="240" w:lineRule="auto"/>
        <w:jc w:val="both"/>
        <w:rPr>
          <w:rFonts w:ascii="Times New Roman" w:eastAsia="Microsoft Sans Serif" w:hAnsi="Times New Roman"/>
          <w:bCs/>
          <w:iCs/>
          <w:sz w:val="28"/>
          <w:szCs w:val="28"/>
          <w:lang w:val="kk-KZ" w:eastAsia="ru-RU" w:bidi="ru-RU"/>
        </w:rPr>
      </w:pPr>
      <w:r w:rsidRPr="008013E1">
        <w:rPr>
          <w:rFonts w:ascii="Times New Roman" w:eastAsia="Microsoft Sans Serif" w:hAnsi="Times New Roman"/>
          <w:bCs/>
          <w:iCs/>
          <w:sz w:val="28"/>
          <w:szCs w:val="28"/>
          <w:lang w:val="kk-KZ" w:eastAsia="ru-RU" w:bidi="ru-RU"/>
        </w:rPr>
        <w:lastRenderedPageBreak/>
        <w:t>«Rogers Pharma» ЖШС, Қазақстан, 050043, Алматы қ., Мирас ықш. ауд., 157, 819</w:t>
      </w:r>
      <w:r w:rsidR="00D75330" w:rsidRPr="00D75330">
        <w:rPr>
          <w:rFonts w:ascii="Times New Roman" w:eastAsia="Microsoft Sans Serif" w:hAnsi="Times New Roman"/>
          <w:bCs/>
          <w:iCs/>
          <w:sz w:val="28"/>
          <w:szCs w:val="28"/>
          <w:lang w:val="kk-KZ" w:eastAsia="ru-RU" w:bidi="ru-RU"/>
        </w:rPr>
        <w:t xml:space="preserve"> </w:t>
      </w:r>
      <w:r w:rsidR="00D75330" w:rsidRPr="008013E1">
        <w:rPr>
          <w:rFonts w:ascii="Times New Roman" w:eastAsia="Microsoft Sans Serif" w:hAnsi="Times New Roman"/>
          <w:bCs/>
          <w:iCs/>
          <w:sz w:val="28"/>
          <w:szCs w:val="28"/>
          <w:lang w:val="kk-KZ" w:eastAsia="ru-RU" w:bidi="ru-RU"/>
        </w:rPr>
        <w:t>т.е.</w:t>
      </w:r>
      <w:r w:rsidRPr="008013E1">
        <w:rPr>
          <w:rFonts w:ascii="Times New Roman" w:eastAsia="Microsoft Sans Serif" w:hAnsi="Times New Roman"/>
          <w:bCs/>
          <w:iCs/>
          <w:sz w:val="28"/>
          <w:szCs w:val="28"/>
          <w:lang w:val="kk-KZ" w:eastAsia="ru-RU" w:bidi="ru-RU"/>
        </w:rPr>
        <w:t xml:space="preserve"> Тел. (727) 311-81-96/97, </w:t>
      </w:r>
    </w:p>
    <w:p w14:paraId="5856A902" w14:textId="77777777" w:rsidR="008013E1" w:rsidRPr="008013E1" w:rsidRDefault="008013E1" w:rsidP="008013E1">
      <w:pPr>
        <w:spacing w:after="0" w:line="240" w:lineRule="auto"/>
        <w:jc w:val="both"/>
        <w:rPr>
          <w:rFonts w:ascii="Times New Roman" w:eastAsia="Microsoft Sans Serif" w:hAnsi="Times New Roman"/>
          <w:bCs/>
          <w:iCs/>
          <w:sz w:val="28"/>
          <w:szCs w:val="28"/>
          <w:lang w:val="kk-KZ" w:eastAsia="ru-RU" w:bidi="ru-RU"/>
        </w:rPr>
      </w:pPr>
      <w:r w:rsidRPr="008013E1">
        <w:rPr>
          <w:rFonts w:ascii="Times New Roman" w:eastAsia="Microsoft Sans Serif" w:hAnsi="Times New Roman"/>
          <w:bCs/>
          <w:iCs/>
          <w:sz w:val="28"/>
          <w:szCs w:val="28"/>
          <w:lang w:val="kk-KZ" w:eastAsia="ru-RU" w:bidi="ru-RU"/>
        </w:rPr>
        <w:t>24 сағат жауап беретін телефон: + 77479911904</w:t>
      </w:r>
    </w:p>
    <w:p w14:paraId="0F9E9203" w14:textId="77777777" w:rsidR="008013E1" w:rsidRPr="00A3603E" w:rsidRDefault="008013E1" w:rsidP="008013E1">
      <w:pPr>
        <w:spacing w:after="0" w:line="240" w:lineRule="auto"/>
        <w:jc w:val="both"/>
        <w:rPr>
          <w:rFonts w:ascii="Times New Roman" w:eastAsia="Microsoft Sans Serif" w:hAnsi="Times New Roman"/>
          <w:bCs/>
          <w:iCs/>
          <w:sz w:val="28"/>
          <w:szCs w:val="28"/>
          <w:lang w:val="kk-KZ" w:eastAsia="ru-RU" w:bidi="ru-RU"/>
        </w:rPr>
      </w:pPr>
      <w:r w:rsidRPr="00A3603E">
        <w:rPr>
          <w:rFonts w:ascii="Times New Roman" w:eastAsia="Microsoft Sans Serif" w:hAnsi="Times New Roman"/>
          <w:bCs/>
          <w:iCs/>
          <w:sz w:val="28"/>
          <w:szCs w:val="28"/>
          <w:lang w:val="kk-KZ" w:eastAsia="ru-RU" w:bidi="ru-RU"/>
        </w:rPr>
        <w:t xml:space="preserve">e-mail: </w:t>
      </w:r>
      <w:hyperlink r:id="rId12" w:history="1">
        <w:r w:rsidRPr="00A3603E">
          <w:rPr>
            <w:rStyle w:val="af"/>
            <w:rFonts w:ascii="Times New Roman" w:eastAsia="Microsoft Sans Serif" w:hAnsi="Times New Roman"/>
            <w:bCs/>
            <w:iCs/>
            <w:sz w:val="28"/>
            <w:szCs w:val="28"/>
            <w:lang w:val="kk-KZ" w:eastAsia="ru-RU" w:bidi="ru-RU"/>
          </w:rPr>
          <w:t>pharmacovigilance@rogerspharma.kz</w:t>
        </w:r>
      </w:hyperlink>
    </w:p>
    <w:p w14:paraId="5154403A" w14:textId="77777777" w:rsidR="00874CBE" w:rsidRPr="00A3603E" w:rsidRDefault="00874CBE" w:rsidP="00874CBE">
      <w:pPr>
        <w:spacing w:after="0" w:line="240" w:lineRule="auto"/>
        <w:jc w:val="both"/>
        <w:rPr>
          <w:rFonts w:ascii="Times New Roman" w:eastAsia="Microsoft Sans Serif" w:hAnsi="Times New Roman"/>
          <w:bCs/>
          <w:iCs/>
          <w:sz w:val="28"/>
          <w:szCs w:val="28"/>
          <w:lang w:val="kk-KZ" w:eastAsia="ru-RU" w:bidi="ru-RU"/>
        </w:rPr>
      </w:pPr>
    </w:p>
    <w:p w14:paraId="2830C152" w14:textId="77777777" w:rsidR="00811030" w:rsidRPr="00A3603E" w:rsidRDefault="00811030" w:rsidP="00811030">
      <w:pPr>
        <w:spacing w:after="0" w:line="240" w:lineRule="auto"/>
        <w:jc w:val="both"/>
        <w:rPr>
          <w:rFonts w:ascii="Times New Roman" w:hAnsi="Times New Roman"/>
          <w:bCs/>
          <w:iCs/>
          <w:sz w:val="28"/>
          <w:szCs w:val="28"/>
          <w:lang w:val="kk-KZ"/>
        </w:rPr>
      </w:pPr>
    </w:p>
    <w:p w14:paraId="71752EDE" w14:textId="77777777" w:rsidR="00844CE8" w:rsidRPr="00A3603E" w:rsidRDefault="00844CE8" w:rsidP="00844CE8">
      <w:pPr>
        <w:pStyle w:val="ConsPlusNormal"/>
        <w:ind w:firstLine="540"/>
        <w:jc w:val="both"/>
        <w:rPr>
          <w:sz w:val="28"/>
          <w:szCs w:val="28"/>
          <w:lang w:val="kk-KZ"/>
        </w:rPr>
      </w:pPr>
    </w:p>
    <w:p w14:paraId="3793F0D0" w14:textId="77777777" w:rsidR="002C76D7" w:rsidRPr="006B705E" w:rsidRDefault="002C76D7" w:rsidP="00844CE8">
      <w:pPr>
        <w:spacing w:after="0" w:line="240" w:lineRule="auto"/>
        <w:jc w:val="both"/>
        <w:rPr>
          <w:rFonts w:ascii="Times New Roman" w:eastAsia="Times New Roman" w:hAnsi="Times New Roman"/>
          <w:b/>
          <w:sz w:val="28"/>
          <w:szCs w:val="28"/>
          <w:lang w:val="uk-UA" w:eastAsia="ru-RU"/>
        </w:rPr>
      </w:pPr>
    </w:p>
    <w:p w14:paraId="418A2046" w14:textId="3FF7BF12" w:rsidR="008E78C8" w:rsidRPr="00A3603E" w:rsidRDefault="008E78C8">
      <w:pPr>
        <w:rPr>
          <w:lang w:val="kk-KZ"/>
        </w:rPr>
      </w:pPr>
    </w:p>
    <w:sectPr w:rsidR="008E78C8" w:rsidRPr="00A3603E"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1F4C" w14:textId="77777777" w:rsidR="007328FB" w:rsidRDefault="007328FB">
      <w:pPr>
        <w:spacing w:after="0" w:line="240" w:lineRule="auto"/>
      </w:pPr>
      <w:r>
        <w:separator/>
      </w:r>
    </w:p>
  </w:endnote>
  <w:endnote w:type="continuationSeparator" w:id="0">
    <w:p w14:paraId="1EE31959" w14:textId="77777777" w:rsidR="007328FB" w:rsidRDefault="0073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D579" w14:textId="77777777" w:rsidR="009D472B" w:rsidRDefault="007328FB"/>
  <w:p w14:paraId="2C015634" w14:textId="77777777" w:rsidR="008E78C8" w:rsidRDefault="007328FB">
    <w:r>
      <w:rPr>
        <w:rFonts w:ascii="Times New Roman" w:eastAsia="Times New Roman" w:hAnsi="Times New Roman"/>
      </w:rPr>
      <w:t>Шешімі: N089492</w:t>
    </w:r>
    <w:r>
      <w:rPr>
        <w:rFonts w:ascii="Times New Roman" w:eastAsia="Times New Roman" w:hAnsi="Times New Roman"/>
      </w:rPr>
      <w:br/>
      <w:t>Шешім тіркелген күні: 17.10.2025</w:t>
    </w:r>
    <w:r>
      <w:rPr>
        <w:rFonts w:ascii="Times New Roman" w:eastAsia="Times New Roman" w:hAnsi="Times New Roman"/>
      </w:rPr>
      <w:br/>
      <w:t xml:space="preserve">Мемлекеттік орган басшысының (немесе уәкілетті тұлғаның) тегі, </w:t>
    </w:r>
    <w:r>
      <w:rPr>
        <w:rFonts w:ascii="Times New Roman" w:eastAsia="Times New Roman" w:hAnsi="Times New Roman"/>
      </w:rPr>
      <w:t>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w:t>
    </w:r>
    <w:r>
      <w:rPr>
        <w:rFonts w:ascii="Times New Roman" w:eastAsia="Times New Roman" w:hAnsi="Times New Roman"/>
      </w:rPr>
      <w:t>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9EAB" w14:textId="77777777" w:rsidR="009D472B" w:rsidRDefault="007328FB"/>
  <w:p w14:paraId="2C9BD9BE" w14:textId="67B904BD" w:rsidR="008E78C8" w:rsidRDefault="008E78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AE1A" w14:textId="77777777" w:rsidR="009D472B" w:rsidRDefault="007328FB"/>
  <w:p w14:paraId="0A34CABB" w14:textId="77777777" w:rsidR="008E78C8" w:rsidRDefault="007328FB">
    <w:r>
      <w:rPr>
        <w:rFonts w:ascii="Times New Roman" w:eastAsia="Times New Roman" w:hAnsi="Times New Roman"/>
      </w:rPr>
      <w:t>Шешімі: N089492</w:t>
    </w:r>
    <w:r>
      <w:rPr>
        <w:rFonts w:ascii="Times New Roman" w:eastAsia="Times New Roman" w:hAnsi="Times New Roman"/>
      </w:rPr>
      <w:br/>
      <w:t>Шешім тіркелген күні: 17.10.2025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w:t>
    </w:r>
    <w:r>
      <w:rPr>
        <w:rFonts w:ascii="Times New Roman" w:eastAsia="Times New Roman" w:hAnsi="Times New Roman"/>
      </w:rPr>
      <w:t>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7088" w14:textId="77777777" w:rsidR="007328FB" w:rsidRDefault="007328FB">
      <w:pPr>
        <w:spacing w:after="0" w:line="240" w:lineRule="auto"/>
      </w:pPr>
      <w:r>
        <w:separator/>
      </w:r>
    </w:p>
  </w:footnote>
  <w:footnote w:type="continuationSeparator" w:id="0">
    <w:p w14:paraId="5D219524" w14:textId="77777777" w:rsidR="007328FB" w:rsidRDefault="0073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6244" w14:textId="77777777" w:rsidR="00D275FC" w:rsidRDefault="00297CEA">
    <w:pPr>
      <w:pStyle w:val="af1"/>
    </w:pPr>
    <w:r>
      <w:rPr>
        <w:noProof/>
        <w:lang w:eastAsia="ru-RU"/>
      </w:rPr>
      <mc:AlternateContent>
        <mc:Choice Requires="wps">
          <w:drawing>
            <wp:anchor distT="0" distB="0" distL="114300" distR="114300" simplePos="0" relativeHeight="251658240" behindDoc="0" locked="0" layoutInCell="1" allowOverlap="1" wp14:anchorId="2EB01ADB" wp14:editId="350314B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23E32BA" w14:textId="77777777" w:rsidR="00D275FC" w:rsidRPr="00D275FC" w:rsidRDefault="00297CEA">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F057AC5"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4FEE34F8" w14:textId="77777777" w:rsidR="00D275FC" w:rsidRPr="00D275FC" w:rsidRDefault="00297CEA">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877AD390">
      <w:numFmt w:val="bullet"/>
      <w:lvlText w:val="–"/>
      <w:lvlJc w:val="left"/>
      <w:pPr>
        <w:ind w:left="720" w:hanging="360"/>
      </w:pPr>
      <w:rPr>
        <w:rFonts w:ascii="Times New Roman" w:eastAsia="Times New Roman" w:hAnsi="Times New Roman" w:cs="Times New Roman" w:hint="default"/>
      </w:rPr>
    </w:lvl>
    <w:lvl w:ilvl="1" w:tplc="CD70FBE6" w:tentative="1">
      <w:start w:val="1"/>
      <w:numFmt w:val="bullet"/>
      <w:lvlText w:val="o"/>
      <w:lvlJc w:val="left"/>
      <w:pPr>
        <w:ind w:left="1440" w:hanging="360"/>
      </w:pPr>
      <w:rPr>
        <w:rFonts w:ascii="Courier New" w:hAnsi="Courier New" w:cs="Courier New" w:hint="default"/>
      </w:rPr>
    </w:lvl>
    <w:lvl w:ilvl="2" w:tplc="3446CC28" w:tentative="1">
      <w:start w:val="1"/>
      <w:numFmt w:val="bullet"/>
      <w:lvlText w:val=""/>
      <w:lvlJc w:val="left"/>
      <w:pPr>
        <w:ind w:left="2160" w:hanging="360"/>
      </w:pPr>
      <w:rPr>
        <w:rFonts w:ascii="Wingdings" w:hAnsi="Wingdings" w:hint="default"/>
      </w:rPr>
    </w:lvl>
    <w:lvl w:ilvl="3" w:tplc="A8381C46" w:tentative="1">
      <w:start w:val="1"/>
      <w:numFmt w:val="bullet"/>
      <w:lvlText w:val=""/>
      <w:lvlJc w:val="left"/>
      <w:pPr>
        <w:ind w:left="2880" w:hanging="360"/>
      </w:pPr>
      <w:rPr>
        <w:rFonts w:ascii="Symbol" w:hAnsi="Symbol" w:hint="default"/>
      </w:rPr>
    </w:lvl>
    <w:lvl w:ilvl="4" w:tplc="0E9E16DA" w:tentative="1">
      <w:start w:val="1"/>
      <w:numFmt w:val="bullet"/>
      <w:lvlText w:val="o"/>
      <w:lvlJc w:val="left"/>
      <w:pPr>
        <w:ind w:left="3600" w:hanging="360"/>
      </w:pPr>
      <w:rPr>
        <w:rFonts w:ascii="Courier New" w:hAnsi="Courier New" w:cs="Courier New" w:hint="default"/>
      </w:rPr>
    </w:lvl>
    <w:lvl w:ilvl="5" w:tplc="2C4CE780" w:tentative="1">
      <w:start w:val="1"/>
      <w:numFmt w:val="bullet"/>
      <w:lvlText w:val=""/>
      <w:lvlJc w:val="left"/>
      <w:pPr>
        <w:ind w:left="4320" w:hanging="360"/>
      </w:pPr>
      <w:rPr>
        <w:rFonts w:ascii="Wingdings" w:hAnsi="Wingdings" w:hint="default"/>
      </w:rPr>
    </w:lvl>
    <w:lvl w:ilvl="6" w:tplc="D4EE6490" w:tentative="1">
      <w:start w:val="1"/>
      <w:numFmt w:val="bullet"/>
      <w:lvlText w:val=""/>
      <w:lvlJc w:val="left"/>
      <w:pPr>
        <w:ind w:left="5040" w:hanging="360"/>
      </w:pPr>
      <w:rPr>
        <w:rFonts w:ascii="Symbol" w:hAnsi="Symbol" w:hint="default"/>
      </w:rPr>
    </w:lvl>
    <w:lvl w:ilvl="7" w:tplc="6CE2A7AE" w:tentative="1">
      <w:start w:val="1"/>
      <w:numFmt w:val="bullet"/>
      <w:lvlText w:val="o"/>
      <w:lvlJc w:val="left"/>
      <w:pPr>
        <w:ind w:left="5760" w:hanging="360"/>
      </w:pPr>
      <w:rPr>
        <w:rFonts w:ascii="Courier New" w:hAnsi="Courier New" w:cs="Courier New" w:hint="default"/>
      </w:rPr>
    </w:lvl>
    <w:lvl w:ilvl="8" w:tplc="5DA4E138"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38BA87E6">
      <w:numFmt w:val="bullet"/>
      <w:lvlText w:val="–"/>
      <w:lvlJc w:val="left"/>
      <w:pPr>
        <w:ind w:left="720" w:hanging="360"/>
      </w:pPr>
      <w:rPr>
        <w:rFonts w:ascii="Times New Roman" w:eastAsia="Times New Roman" w:hAnsi="Times New Roman" w:cs="Times New Roman" w:hint="default"/>
      </w:rPr>
    </w:lvl>
    <w:lvl w:ilvl="1" w:tplc="00FE720C" w:tentative="1">
      <w:start w:val="1"/>
      <w:numFmt w:val="bullet"/>
      <w:lvlText w:val="o"/>
      <w:lvlJc w:val="left"/>
      <w:pPr>
        <w:ind w:left="1440" w:hanging="360"/>
      </w:pPr>
      <w:rPr>
        <w:rFonts w:ascii="Courier New" w:hAnsi="Courier New" w:cs="Courier New" w:hint="default"/>
      </w:rPr>
    </w:lvl>
    <w:lvl w:ilvl="2" w:tplc="BA4EC8D2" w:tentative="1">
      <w:start w:val="1"/>
      <w:numFmt w:val="bullet"/>
      <w:lvlText w:val=""/>
      <w:lvlJc w:val="left"/>
      <w:pPr>
        <w:ind w:left="2160" w:hanging="360"/>
      </w:pPr>
      <w:rPr>
        <w:rFonts w:ascii="Wingdings" w:hAnsi="Wingdings" w:hint="default"/>
      </w:rPr>
    </w:lvl>
    <w:lvl w:ilvl="3" w:tplc="AF26C5BA" w:tentative="1">
      <w:start w:val="1"/>
      <w:numFmt w:val="bullet"/>
      <w:lvlText w:val=""/>
      <w:lvlJc w:val="left"/>
      <w:pPr>
        <w:ind w:left="2880" w:hanging="360"/>
      </w:pPr>
      <w:rPr>
        <w:rFonts w:ascii="Symbol" w:hAnsi="Symbol" w:hint="default"/>
      </w:rPr>
    </w:lvl>
    <w:lvl w:ilvl="4" w:tplc="FEA6DB1A" w:tentative="1">
      <w:start w:val="1"/>
      <w:numFmt w:val="bullet"/>
      <w:lvlText w:val="o"/>
      <w:lvlJc w:val="left"/>
      <w:pPr>
        <w:ind w:left="3600" w:hanging="360"/>
      </w:pPr>
      <w:rPr>
        <w:rFonts w:ascii="Courier New" w:hAnsi="Courier New" w:cs="Courier New" w:hint="default"/>
      </w:rPr>
    </w:lvl>
    <w:lvl w:ilvl="5" w:tplc="108AD8E6" w:tentative="1">
      <w:start w:val="1"/>
      <w:numFmt w:val="bullet"/>
      <w:lvlText w:val=""/>
      <w:lvlJc w:val="left"/>
      <w:pPr>
        <w:ind w:left="4320" w:hanging="360"/>
      </w:pPr>
      <w:rPr>
        <w:rFonts w:ascii="Wingdings" w:hAnsi="Wingdings" w:hint="default"/>
      </w:rPr>
    </w:lvl>
    <w:lvl w:ilvl="6" w:tplc="928C8CD4" w:tentative="1">
      <w:start w:val="1"/>
      <w:numFmt w:val="bullet"/>
      <w:lvlText w:val=""/>
      <w:lvlJc w:val="left"/>
      <w:pPr>
        <w:ind w:left="5040" w:hanging="360"/>
      </w:pPr>
      <w:rPr>
        <w:rFonts w:ascii="Symbol" w:hAnsi="Symbol" w:hint="default"/>
      </w:rPr>
    </w:lvl>
    <w:lvl w:ilvl="7" w:tplc="48321E90" w:tentative="1">
      <w:start w:val="1"/>
      <w:numFmt w:val="bullet"/>
      <w:lvlText w:val="o"/>
      <w:lvlJc w:val="left"/>
      <w:pPr>
        <w:ind w:left="5760" w:hanging="360"/>
      </w:pPr>
      <w:rPr>
        <w:rFonts w:ascii="Courier New" w:hAnsi="Courier New" w:cs="Courier New" w:hint="default"/>
      </w:rPr>
    </w:lvl>
    <w:lvl w:ilvl="8" w:tplc="BF001E76"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757EE73C">
      <w:numFmt w:val="bullet"/>
      <w:lvlText w:val=""/>
      <w:lvlJc w:val="left"/>
      <w:pPr>
        <w:ind w:left="420" w:hanging="360"/>
      </w:pPr>
      <w:rPr>
        <w:rFonts w:ascii="Symbol" w:eastAsia="Times New Roman" w:hAnsi="Symbol" w:cs="Times New Roman" w:hint="default"/>
      </w:rPr>
    </w:lvl>
    <w:lvl w:ilvl="1" w:tplc="7CE03494" w:tentative="1">
      <w:start w:val="1"/>
      <w:numFmt w:val="bullet"/>
      <w:lvlText w:val="o"/>
      <w:lvlJc w:val="left"/>
      <w:pPr>
        <w:tabs>
          <w:tab w:val="num" w:pos="1440"/>
        </w:tabs>
        <w:ind w:left="1440" w:hanging="360"/>
      </w:pPr>
      <w:rPr>
        <w:rFonts w:ascii="Courier New" w:hAnsi="Courier New" w:cs="Courier New" w:hint="default"/>
      </w:rPr>
    </w:lvl>
    <w:lvl w:ilvl="2" w:tplc="728CFB60" w:tentative="1">
      <w:start w:val="1"/>
      <w:numFmt w:val="bullet"/>
      <w:lvlText w:val=""/>
      <w:lvlJc w:val="left"/>
      <w:pPr>
        <w:tabs>
          <w:tab w:val="num" w:pos="2160"/>
        </w:tabs>
        <w:ind w:left="2160" w:hanging="360"/>
      </w:pPr>
      <w:rPr>
        <w:rFonts w:ascii="Wingdings" w:hAnsi="Wingdings" w:hint="default"/>
      </w:rPr>
    </w:lvl>
    <w:lvl w:ilvl="3" w:tplc="5E123354" w:tentative="1">
      <w:start w:val="1"/>
      <w:numFmt w:val="bullet"/>
      <w:lvlText w:val=""/>
      <w:lvlJc w:val="left"/>
      <w:pPr>
        <w:tabs>
          <w:tab w:val="num" w:pos="2880"/>
        </w:tabs>
        <w:ind w:left="2880" w:hanging="360"/>
      </w:pPr>
      <w:rPr>
        <w:rFonts w:ascii="Symbol" w:hAnsi="Symbol" w:hint="default"/>
      </w:rPr>
    </w:lvl>
    <w:lvl w:ilvl="4" w:tplc="6DBC5B64" w:tentative="1">
      <w:start w:val="1"/>
      <w:numFmt w:val="bullet"/>
      <w:lvlText w:val="o"/>
      <w:lvlJc w:val="left"/>
      <w:pPr>
        <w:tabs>
          <w:tab w:val="num" w:pos="3600"/>
        </w:tabs>
        <w:ind w:left="3600" w:hanging="360"/>
      </w:pPr>
      <w:rPr>
        <w:rFonts w:ascii="Courier New" w:hAnsi="Courier New" w:cs="Courier New" w:hint="default"/>
      </w:rPr>
    </w:lvl>
    <w:lvl w:ilvl="5" w:tplc="6DA0F480" w:tentative="1">
      <w:start w:val="1"/>
      <w:numFmt w:val="bullet"/>
      <w:lvlText w:val=""/>
      <w:lvlJc w:val="left"/>
      <w:pPr>
        <w:tabs>
          <w:tab w:val="num" w:pos="4320"/>
        </w:tabs>
        <w:ind w:left="4320" w:hanging="360"/>
      </w:pPr>
      <w:rPr>
        <w:rFonts w:ascii="Wingdings" w:hAnsi="Wingdings" w:hint="default"/>
      </w:rPr>
    </w:lvl>
    <w:lvl w:ilvl="6" w:tplc="8030183A" w:tentative="1">
      <w:start w:val="1"/>
      <w:numFmt w:val="bullet"/>
      <w:lvlText w:val=""/>
      <w:lvlJc w:val="left"/>
      <w:pPr>
        <w:tabs>
          <w:tab w:val="num" w:pos="5040"/>
        </w:tabs>
        <w:ind w:left="5040" w:hanging="360"/>
      </w:pPr>
      <w:rPr>
        <w:rFonts w:ascii="Symbol" w:hAnsi="Symbol" w:hint="default"/>
      </w:rPr>
    </w:lvl>
    <w:lvl w:ilvl="7" w:tplc="B8B45E9C" w:tentative="1">
      <w:start w:val="1"/>
      <w:numFmt w:val="bullet"/>
      <w:lvlText w:val="o"/>
      <w:lvlJc w:val="left"/>
      <w:pPr>
        <w:tabs>
          <w:tab w:val="num" w:pos="5760"/>
        </w:tabs>
        <w:ind w:left="5760" w:hanging="360"/>
      </w:pPr>
      <w:rPr>
        <w:rFonts w:ascii="Courier New" w:hAnsi="Courier New" w:cs="Courier New" w:hint="default"/>
      </w:rPr>
    </w:lvl>
    <w:lvl w:ilvl="8" w:tplc="1AC8AE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F490E4D2">
      <w:numFmt w:val="bullet"/>
      <w:lvlText w:val=""/>
      <w:lvlJc w:val="left"/>
      <w:pPr>
        <w:ind w:left="420" w:hanging="360"/>
      </w:pPr>
      <w:rPr>
        <w:rFonts w:ascii="Symbol" w:eastAsia="Times New Roman" w:hAnsi="Symbol" w:cs="Times New Roman" w:hint="default"/>
      </w:rPr>
    </w:lvl>
    <w:lvl w:ilvl="1" w:tplc="CE1A4F84" w:tentative="1">
      <w:start w:val="1"/>
      <w:numFmt w:val="bullet"/>
      <w:lvlText w:val="o"/>
      <w:lvlJc w:val="left"/>
      <w:pPr>
        <w:tabs>
          <w:tab w:val="num" w:pos="1440"/>
        </w:tabs>
        <w:ind w:left="1440" w:hanging="360"/>
      </w:pPr>
      <w:rPr>
        <w:rFonts w:ascii="Courier New" w:hAnsi="Courier New" w:cs="Courier New" w:hint="default"/>
      </w:rPr>
    </w:lvl>
    <w:lvl w:ilvl="2" w:tplc="F474A1E2" w:tentative="1">
      <w:start w:val="1"/>
      <w:numFmt w:val="bullet"/>
      <w:lvlText w:val=""/>
      <w:lvlJc w:val="left"/>
      <w:pPr>
        <w:tabs>
          <w:tab w:val="num" w:pos="2160"/>
        </w:tabs>
        <w:ind w:left="2160" w:hanging="360"/>
      </w:pPr>
      <w:rPr>
        <w:rFonts w:ascii="Wingdings" w:hAnsi="Wingdings" w:hint="default"/>
      </w:rPr>
    </w:lvl>
    <w:lvl w:ilvl="3" w:tplc="F424AD86" w:tentative="1">
      <w:start w:val="1"/>
      <w:numFmt w:val="bullet"/>
      <w:lvlText w:val=""/>
      <w:lvlJc w:val="left"/>
      <w:pPr>
        <w:tabs>
          <w:tab w:val="num" w:pos="2880"/>
        </w:tabs>
        <w:ind w:left="2880" w:hanging="360"/>
      </w:pPr>
      <w:rPr>
        <w:rFonts w:ascii="Symbol" w:hAnsi="Symbol" w:hint="default"/>
      </w:rPr>
    </w:lvl>
    <w:lvl w:ilvl="4" w:tplc="66FAE2B0" w:tentative="1">
      <w:start w:val="1"/>
      <w:numFmt w:val="bullet"/>
      <w:lvlText w:val="o"/>
      <w:lvlJc w:val="left"/>
      <w:pPr>
        <w:tabs>
          <w:tab w:val="num" w:pos="3600"/>
        </w:tabs>
        <w:ind w:left="3600" w:hanging="360"/>
      </w:pPr>
      <w:rPr>
        <w:rFonts w:ascii="Courier New" w:hAnsi="Courier New" w:cs="Courier New" w:hint="default"/>
      </w:rPr>
    </w:lvl>
    <w:lvl w:ilvl="5" w:tplc="F7925D30" w:tentative="1">
      <w:start w:val="1"/>
      <w:numFmt w:val="bullet"/>
      <w:lvlText w:val=""/>
      <w:lvlJc w:val="left"/>
      <w:pPr>
        <w:tabs>
          <w:tab w:val="num" w:pos="4320"/>
        </w:tabs>
        <w:ind w:left="4320" w:hanging="360"/>
      </w:pPr>
      <w:rPr>
        <w:rFonts w:ascii="Wingdings" w:hAnsi="Wingdings" w:hint="default"/>
      </w:rPr>
    </w:lvl>
    <w:lvl w:ilvl="6" w:tplc="58960478" w:tentative="1">
      <w:start w:val="1"/>
      <w:numFmt w:val="bullet"/>
      <w:lvlText w:val=""/>
      <w:lvlJc w:val="left"/>
      <w:pPr>
        <w:tabs>
          <w:tab w:val="num" w:pos="5040"/>
        </w:tabs>
        <w:ind w:left="5040" w:hanging="360"/>
      </w:pPr>
      <w:rPr>
        <w:rFonts w:ascii="Symbol" w:hAnsi="Symbol" w:hint="default"/>
      </w:rPr>
    </w:lvl>
    <w:lvl w:ilvl="7" w:tplc="C0169D52" w:tentative="1">
      <w:start w:val="1"/>
      <w:numFmt w:val="bullet"/>
      <w:lvlText w:val="o"/>
      <w:lvlJc w:val="left"/>
      <w:pPr>
        <w:tabs>
          <w:tab w:val="num" w:pos="5760"/>
        </w:tabs>
        <w:ind w:left="5760" w:hanging="360"/>
      </w:pPr>
      <w:rPr>
        <w:rFonts w:ascii="Courier New" w:hAnsi="Courier New" w:cs="Courier New" w:hint="default"/>
      </w:rPr>
    </w:lvl>
    <w:lvl w:ilvl="8" w:tplc="E0FEEB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7C5AF60C">
      <w:start w:val="1"/>
      <w:numFmt w:val="bullet"/>
      <w:lvlText w:val=""/>
      <w:lvlJc w:val="left"/>
      <w:pPr>
        <w:ind w:left="720" w:hanging="360"/>
      </w:pPr>
      <w:rPr>
        <w:rFonts w:ascii="Symbol" w:hAnsi="Symbol" w:hint="default"/>
      </w:rPr>
    </w:lvl>
    <w:lvl w:ilvl="1" w:tplc="ED5ED4CE">
      <w:start w:val="1"/>
      <w:numFmt w:val="bullet"/>
      <w:lvlText w:val="o"/>
      <w:lvlJc w:val="left"/>
      <w:pPr>
        <w:ind w:left="1440" w:hanging="360"/>
      </w:pPr>
      <w:rPr>
        <w:rFonts w:ascii="Courier New" w:hAnsi="Courier New" w:cs="Courier New" w:hint="default"/>
      </w:rPr>
    </w:lvl>
    <w:lvl w:ilvl="2" w:tplc="600ABE20" w:tentative="1">
      <w:start w:val="1"/>
      <w:numFmt w:val="bullet"/>
      <w:lvlText w:val=""/>
      <w:lvlJc w:val="left"/>
      <w:pPr>
        <w:ind w:left="2160" w:hanging="360"/>
      </w:pPr>
      <w:rPr>
        <w:rFonts w:ascii="Wingdings" w:hAnsi="Wingdings" w:hint="default"/>
      </w:rPr>
    </w:lvl>
    <w:lvl w:ilvl="3" w:tplc="4E5EDC02" w:tentative="1">
      <w:start w:val="1"/>
      <w:numFmt w:val="bullet"/>
      <w:lvlText w:val=""/>
      <w:lvlJc w:val="left"/>
      <w:pPr>
        <w:ind w:left="2880" w:hanging="360"/>
      </w:pPr>
      <w:rPr>
        <w:rFonts w:ascii="Symbol" w:hAnsi="Symbol" w:hint="default"/>
      </w:rPr>
    </w:lvl>
    <w:lvl w:ilvl="4" w:tplc="C44649E6" w:tentative="1">
      <w:start w:val="1"/>
      <w:numFmt w:val="bullet"/>
      <w:lvlText w:val="o"/>
      <w:lvlJc w:val="left"/>
      <w:pPr>
        <w:ind w:left="3600" w:hanging="360"/>
      </w:pPr>
      <w:rPr>
        <w:rFonts w:ascii="Courier New" w:hAnsi="Courier New" w:cs="Courier New" w:hint="default"/>
      </w:rPr>
    </w:lvl>
    <w:lvl w:ilvl="5" w:tplc="8DE8842A" w:tentative="1">
      <w:start w:val="1"/>
      <w:numFmt w:val="bullet"/>
      <w:lvlText w:val=""/>
      <w:lvlJc w:val="left"/>
      <w:pPr>
        <w:ind w:left="4320" w:hanging="360"/>
      </w:pPr>
      <w:rPr>
        <w:rFonts w:ascii="Wingdings" w:hAnsi="Wingdings" w:hint="default"/>
      </w:rPr>
    </w:lvl>
    <w:lvl w:ilvl="6" w:tplc="D8B8CDCC" w:tentative="1">
      <w:start w:val="1"/>
      <w:numFmt w:val="bullet"/>
      <w:lvlText w:val=""/>
      <w:lvlJc w:val="left"/>
      <w:pPr>
        <w:ind w:left="5040" w:hanging="360"/>
      </w:pPr>
      <w:rPr>
        <w:rFonts w:ascii="Symbol" w:hAnsi="Symbol" w:hint="default"/>
      </w:rPr>
    </w:lvl>
    <w:lvl w:ilvl="7" w:tplc="966E67CC" w:tentative="1">
      <w:start w:val="1"/>
      <w:numFmt w:val="bullet"/>
      <w:lvlText w:val="o"/>
      <w:lvlJc w:val="left"/>
      <w:pPr>
        <w:ind w:left="5760" w:hanging="360"/>
      </w:pPr>
      <w:rPr>
        <w:rFonts w:ascii="Courier New" w:hAnsi="Courier New" w:cs="Courier New" w:hint="default"/>
      </w:rPr>
    </w:lvl>
    <w:lvl w:ilvl="8" w:tplc="69126F80"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C6EAAB36">
      <w:numFmt w:val="bullet"/>
      <w:lvlText w:val=""/>
      <w:lvlJc w:val="left"/>
      <w:pPr>
        <w:ind w:left="420" w:hanging="360"/>
      </w:pPr>
      <w:rPr>
        <w:rFonts w:ascii="Symbol" w:eastAsia="Times New Roman" w:hAnsi="Symbol" w:cs="Times New Roman" w:hint="default"/>
      </w:rPr>
    </w:lvl>
    <w:lvl w:ilvl="1" w:tplc="A7981EA0" w:tentative="1">
      <w:start w:val="1"/>
      <w:numFmt w:val="bullet"/>
      <w:lvlText w:val="o"/>
      <w:lvlJc w:val="left"/>
      <w:pPr>
        <w:tabs>
          <w:tab w:val="num" w:pos="1440"/>
        </w:tabs>
        <w:ind w:left="1440" w:hanging="360"/>
      </w:pPr>
      <w:rPr>
        <w:rFonts w:ascii="Courier New" w:hAnsi="Courier New" w:cs="Courier New" w:hint="default"/>
      </w:rPr>
    </w:lvl>
    <w:lvl w:ilvl="2" w:tplc="6AACBF1C" w:tentative="1">
      <w:start w:val="1"/>
      <w:numFmt w:val="bullet"/>
      <w:lvlText w:val=""/>
      <w:lvlJc w:val="left"/>
      <w:pPr>
        <w:tabs>
          <w:tab w:val="num" w:pos="2160"/>
        </w:tabs>
        <w:ind w:left="2160" w:hanging="360"/>
      </w:pPr>
      <w:rPr>
        <w:rFonts w:ascii="Wingdings" w:hAnsi="Wingdings" w:hint="default"/>
      </w:rPr>
    </w:lvl>
    <w:lvl w:ilvl="3" w:tplc="0EA07E06" w:tentative="1">
      <w:start w:val="1"/>
      <w:numFmt w:val="bullet"/>
      <w:lvlText w:val=""/>
      <w:lvlJc w:val="left"/>
      <w:pPr>
        <w:tabs>
          <w:tab w:val="num" w:pos="2880"/>
        </w:tabs>
        <w:ind w:left="2880" w:hanging="360"/>
      </w:pPr>
      <w:rPr>
        <w:rFonts w:ascii="Symbol" w:hAnsi="Symbol" w:hint="default"/>
      </w:rPr>
    </w:lvl>
    <w:lvl w:ilvl="4" w:tplc="462A23B4" w:tentative="1">
      <w:start w:val="1"/>
      <w:numFmt w:val="bullet"/>
      <w:lvlText w:val="o"/>
      <w:lvlJc w:val="left"/>
      <w:pPr>
        <w:tabs>
          <w:tab w:val="num" w:pos="3600"/>
        </w:tabs>
        <w:ind w:left="3600" w:hanging="360"/>
      </w:pPr>
      <w:rPr>
        <w:rFonts w:ascii="Courier New" w:hAnsi="Courier New" w:cs="Courier New" w:hint="default"/>
      </w:rPr>
    </w:lvl>
    <w:lvl w:ilvl="5" w:tplc="39BE998C" w:tentative="1">
      <w:start w:val="1"/>
      <w:numFmt w:val="bullet"/>
      <w:lvlText w:val=""/>
      <w:lvlJc w:val="left"/>
      <w:pPr>
        <w:tabs>
          <w:tab w:val="num" w:pos="4320"/>
        </w:tabs>
        <w:ind w:left="4320" w:hanging="360"/>
      </w:pPr>
      <w:rPr>
        <w:rFonts w:ascii="Wingdings" w:hAnsi="Wingdings" w:hint="default"/>
      </w:rPr>
    </w:lvl>
    <w:lvl w:ilvl="6" w:tplc="3594D480" w:tentative="1">
      <w:start w:val="1"/>
      <w:numFmt w:val="bullet"/>
      <w:lvlText w:val=""/>
      <w:lvlJc w:val="left"/>
      <w:pPr>
        <w:tabs>
          <w:tab w:val="num" w:pos="5040"/>
        </w:tabs>
        <w:ind w:left="5040" w:hanging="360"/>
      </w:pPr>
      <w:rPr>
        <w:rFonts w:ascii="Symbol" w:hAnsi="Symbol" w:hint="default"/>
      </w:rPr>
    </w:lvl>
    <w:lvl w:ilvl="7" w:tplc="C832DE36" w:tentative="1">
      <w:start w:val="1"/>
      <w:numFmt w:val="bullet"/>
      <w:lvlText w:val="o"/>
      <w:lvlJc w:val="left"/>
      <w:pPr>
        <w:tabs>
          <w:tab w:val="num" w:pos="5760"/>
        </w:tabs>
        <w:ind w:left="5760" w:hanging="360"/>
      </w:pPr>
      <w:rPr>
        <w:rFonts w:ascii="Courier New" w:hAnsi="Courier New" w:cs="Courier New" w:hint="default"/>
      </w:rPr>
    </w:lvl>
    <w:lvl w:ilvl="8" w:tplc="4CC8F1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017425CC">
      <w:numFmt w:val="bullet"/>
      <w:lvlText w:val="–"/>
      <w:lvlJc w:val="left"/>
      <w:pPr>
        <w:ind w:left="720" w:hanging="360"/>
      </w:pPr>
      <w:rPr>
        <w:rFonts w:ascii="Times New Roman" w:eastAsia="Times New Roman" w:hAnsi="Times New Roman" w:cs="Times New Roman" w:hint="default"/>
      </w:rPr>
    </w:lvl>
    <w:lvl w:ilvl="1" w:tplc="54FE24AA" w:tentative="1">
      <w:start w:val="1"/>
      <w:numFmt w:val="bullet"/>
      <w:lvlText w:val="o"/>
      <w:lvlJc w:val="left"/>
      <w:pPr>
        <w:ind w:left="1440" w:hanging="360"/>
      </w:pPr>
      <w:rPr>
        <w:rFonts w:ascii="Courier New" w:hAnsi="Courier New" w:cs="Courier New" w:hint="default"/>
      </w:rPr>
    </w:lvl>
    <w:lvl w:ilvl="2" w:tplc="060405F0" w:tentative="1">
      <w:start w:val="1"/>
      <w:numFmt w:val="bullet"/>
      <w:lvlText w:val=""/>
      <w:lvlJc w:val="left"/>
      <w:pPr>
        <w:ind w:left="2160" w:hanging="360"/>
      </w:pPr>
      <w:rPr>
        <w:rFonts w:ascii="Wingdings" w:hAnsi="Wingdings" w:hint="default"/>
      </w:rPr>
    </w:lvl>
    <w:lvl w:ilvl="3" w:tplc="1BB42670" w:tentative="1">
      <w:start w:val="1"/>
      <w:numFmt w:val="bullet"/>
      <w:lvlText w:val=""/>
      <w:lvlJc w:val="left"/>
      <w:pPr>
        <w:ind w:left="2880" w:hanging="360"/>
      </w:pPr>
      <w:rPr>
        <w:rFonts w:ascii="Symbol" w:hAnsi="Symbol" w:hint="default"/>
      </w:rPr>
    </w:lvl>
    <w:lvl w:ilvl="4" w:tplc="E91C6AD4" w:tentative="1">
      <w:start w:val="1"/>
      <w:numFmt w:val="bullet"/>
      <w:lvlText w:val="o"/>
      <w:lvlJc w:val="left"/>
      <w:pPr>
        <w:ind w:left="3600" w:hanging="360"/>
      </w:pPr>
      <w:rPr>
        <w:rFonts w:ascii="Courier New" w:hAnsi="Courier New" w:cs="Courier New" w:hint="default"/>
      </w:rPr>
    </w:lvl>
    <w:lvl w:ilvl="5" w:tplc="A7CE1764" w:tentative="1">
      <w:start w:val="1"/>
      <w:numFmt w:val="bullet"/>
      <w:lvlText w:val=""/>
      <w:lvlJc w:val="left"/>
      <w:pPr>
        <w:ind w:left="4320" w:hanging="360"/>
      </w:pPr>
      <w:rPr>
        <w:rFonts w:ascii="Wingdings" w:hAnsi="Wingdings" w:hint="default"/>
      </w:rPr>
    </w:lvl>
    <w:lvl w:ilvl="6" w:tplc="A4FCFA4C" w:tentative="1">
      <w:start w:val="1"/>
      <w:numFmt w:val="bullet"/>
      <w:lvlText w:val=""/>
      <w:lvlJc w:val="left"/>
      <w:pPr>
        <w:ind w:left="5040" w:hanging="360"/>
      </w:pPr>
      <w:rPr>
        <w:rFonts w:ascii="Symbol" w:hAnsi="Symbol" w:hint="default"/>
      </w:rPr>
    </w:lvl>
    <w:lvl w:ilvl="7" w:tplc="E21021F8" w:tentative="1">
      <w:start w:val="1"/>
      <w:numFmt w:val="bullet"/>
      <w:lvlText w:val="o"/>
      <w:lvlJc w:val="left"/>
      <w:pPr>
        <w:ind w:left="5760" w:hanging="360"/>
      </w:pPr>
      <w:rPr>
        <w:rFonts w:ascii="Courier New" w:hAnsi="Courier New" w:cs="Courier New" w:hint="default"/>
      </w:rPr>
    </w:lvl>
    <w:lvl w:ilvl="8" w:tplc="AFFE26CE"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E63E7D24">
      <w:start w:val="1"/>
      <w:numFmt w:val="bullet"/>
      <w:lvlText w:val=""/>
      <w:lvlJc w:val="left"/>
      <w:pPr>
        <w:ind w:left="720" w:hanging="360"/>
      </w:pPr>
      <w:rPr>
        <w:rFonts w:ascii="Symbol" w:hAnsi="Symbol" w:hint="default"/>
      </w:rPr>
    </w:lvl>
    <w:lvl w:ilvl="1" w:tplc="50A42D32" w:tentative="1">
      <w:start w:val="1"/>
      <w:numFmt w:val="bullet"/>
      <w:lvlText w:val="o"/>
      <w:lvlJc w:val="left"/>
      <w:pPr>
        <w:ind w:left="1440" w:hanging="360"/>
      </w:pPr>
      <w:rPr>
        <w:rFonts w:ascii="Courier New" w:hAnsi="Courier New" w:cs="Courier New" w:hint="default"/>
      </w:rPr>
    </w:lvl>
    <w:lvl w:ilvl="2" w:tplc="2D5455B0" w:tentative="1">
      <w:start w:val="1"/>
      <w:numFmt w:val="bullet"/>
      <w:lvlText w:val=""/>
      <w:lvlJc w:val="left"/>
      <w:pPr>
        <w:ind w:left="2160" w:hanging="360"/>
      </w:pPr>
      <w:rPr>
        <w:rFonts w:ascii="Wingdings" w:hAnsi="Wingdings" w:hint="default"/>
      </w:rPr>
    </w:lvl>
    <w:lvl w:ilvl="3" w:tplc="B426C3E0" w:tentative="1">
      <w:start w:val="1"/>
      <w:numFmt w:val="bullet"/>
      <w:lvlText w:val=""/>
      <w:lvlJc w:val="left"/>
      <w:pPr>
        <w:ind w:left="2880" w:hanging="360"/>
      </w:pPr>
      <w:rPr>
        <w:rFonts w:ascii="Symbol" w:hAnsi="Symbol" w:hint="default"/>
      </w:rPr>
    </w:lvl>
    <w:lvl w:ilvl="4" w:tplc="1F42801E" w:tentative="1">
      <w:start w:val="1"/>
      <w:numFmt w:val="bullet"/>
      <w:lvlText w:val="o"/>
      <w:lvlJc w:val="left"/>
      <w:pPr>
        <w:ind w:left="3600" w:hanging="360"/>
      </w:pPr>
      <w:rPr>
        <w:rFonts w:ascii="Courier New" w:hAnsi="Courier New" w:cs="Courier New" w:hint="default"/>
      </w:rPr>
    </w:lvl>
    <w:lvl w:ilvl="5" w:tplc="6FE6530A" w:tentative="1">
      <w:start w:val="1"/>
      <w:numFmt w:val="bullet"/>
      <w:lvlText w:val=""/>
      <w:lvlJc w:val="left"/>
      <w:pPr>
        <w:ind w:left="4320" w:hanging="360"/>
      </w:pPr>
      <w:rPr>
        <w:rFonts w:ascii="Wingdings" w:hAnsi="Wingdings" w:hint="default"/>
      </w:rPr>
    </w:lvl>
    <w:lvl w:ilvl="6" w:tplc="01A0C9A0" w:tentative="1">
      <w:start w:val="1"/>
      <w:numFmt w:val="bullet"/>
      <w:lvlText w:val=""/>
      <w:lvlJc w:val="left"/>
      <w:pPr>
        <w:ind w:left="5040" w:hanging="360"/>
      </w:pPr>
      <w:rPr>
        <w:rFonts w:ascii="Symbol" w:hAnsi="Symbol" w:hint="default"/>
      </w:rPr>
    </w:lvl>
    <w:lvl w:ilvl="7" w:tplc="76C26750" w:tentative="1">
      <w:start w:val="1"/>
      <w:numFmt w:val="bullet"/>
      <w:lvlText w:val="o"/>
      <w:lvlJc w:val="left"/>
      <w:pPr>
        <w:ind w:left="5760" w:hanging="360"/>
      </w:pPr>
      <w:rPr>
        <w:rFonts w:ascii="Courier New" w:hAnsi="Courier New" w:cs="Courier New" w:hint="default"/>
      </w:rPr>
    </w:lvl>
    <w:lvl w:ilvl="8" w:tplc="EEEA191A"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3E07170">
      <w:start w:val="1"/>
      <w:numFmt w:val="bullet"/>
      <w:lvlText w:val=""/>
      <w:lvlJc w:val="left"/>
      <w:pPr>
        <w:ind w:left="720" w:hanging="360"/>
      </w:pPr>
      <w:rPr>
        <w:rFonts w:ascii="Symbol" w:hAnsi="Symbol" w:hint="default"/>
      </w:rPr>
    </w:lvl>
    <w:lvl w:ilvl="1" w:tplc="34E80380" w:tentative="1">
      <w:start w:val="1"/>
      <w:numFmt w:val="bullet"/>
      <w:lvlText w:val="o"/>
      <w:lvlJc w:val="left"/>
      <w:pPr>
        <w:ind w:left="1440" w:hanging="360"/>
      </w:pPr>
      <w:rPr>
        <w:rFonts w:ascii="Courier New" w:hAnsi="Courier New" w:cs="Courier New" w:hint="default"/>
      </w:rPr>
    </w:lvl>
    <w:lvl w:ilvl="2" w:tplc="AABEA8A2" w:tentative="1">
      <w:start w:val="1"/>
      <w:numFmt w:val="bullet"/>
      <w:lvlText w:val=""/>
      <w:lvlJc w:val="left"/>
      <w:pPr>
        <w:ind w:left="2160" w:hanging="360"/>
      </w:pPr>
      <w:rPr>
        <w:rFonts w:ascii="Wingdings" w:hAnsi="Wingdings" w:hint="default"/>
      </w:rPr>
    </w:lvl>
    <w:lvl w:ilvl="3" w:tplc="E1A649FC" w:tentative="1">
      <w:start w:val="1"/>
      <w:numFmt w:val="bullet"/>
      <w:lvlText w:val=""/>
      <w:lvlJc w:val="left"/>
      <w:pPr>
        <w:ind w:left="2880" w:hanging="360"/>
      </w:pPr>
      <w:rPr>
        <w:rFonts w:ascii="Symbol" w:hAnsi="Symbol" w:hint="default"/>
      </w:rPr>
    </w:lvl>
    <w:lvl w:ilvl="4" w:tplc="C29C57EA" w:tentative="1">
      <w:start w:val="1"/>
      <w:numFmt w:val="bullet"/>
      <w:lvlText w:val="o"/>
      <w:lvlJc w:val="left"/>
      <w:pPr>
        <w:ind w:left="3600" w:hanging="360"/>
      </w:pPr>
      <w:rPr>
        <w:rFonts w:ascii="Courier New" w:hAnsi="Courier New" w:cs="Courier New" w:hint="default"/>
      </w:rPr>
    </w:lvl>
    <w:lvl w:ilvl="5" w:tplc="34E6DB74" w:tentative="1">
      <w:start w:val="1"/>
      <w:numFmt w:val="bullet"/>
      <w:lvlText w:val=""/>
      <w:lvlJc w:val="left"/>
      <w:pPr>
        <w:ind w:left="4320" w:hanging="360"/>
      </w:pPr>
      <w:rPr>
        <w:rFonts w:ascii="Wingdings" w:hAnsi="Wingdings" w:hint="default"/>
      </w:rPr>
    </w:lvl>
    <w:lvl w:ilvl="6" w:tplc="B3A6966C" w:tentative="1">
      <w:start w:val="1"/>
      <w:numFmt w:val="bullet"/>
      <w:lvlText w:val=""/>
      <w:lvlJc w:val="left"/>
      <w:pPr>
        <w:ind w:left="5040" w:hanging="360"/>
      </w:pPr>
      <w:rPr>
        <w:rFonts w:ascii="Symbol" w:hAnsi="Symbol" w:hint="default"/>
      </w:rPr>
    </w:lvl>
    <w:lvl w:ilvl="7" w:tplc="474A73CC" w:tentative="1">
      <w:start w:val="1"/>
      <w:numFmt w:val="bullet"/>
      <w:lvlText w:val="o"/>
      <w:lvlJc w:val="left"/>
      <w:pPr>
        <w:ind w:left="5760" w:hanging="360"/>
      </w:pPr>
      <w:rPr>
        <w:rFonts w:ascii="Courier New" w:hAnsi="Courier New" w:cs="Courier New" w:hint="default"/>
      </w:rPr>
    </w:lvl>
    <w:lvl w:ilvl="8" w:tplc="F20A256C"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E6F6EBEA">
      <w:start w:val="1"/>
      <w:numFmt w:val="decimal"/>
      <w:lvlText w:val="%1."/>
      <w:lvlJc w:val="left"/>
      <w:pPr>
        <w:ind w:left="720" w:hanging="360"/>
      </w:pPr>
      <w:rPr>
        <w:rFonts w:hint="default"/>
      </w:rPr>
    </w:lvl>
    <w:lvl w:ilvl="1" w:tplc="0C38045E" w:tentative="1">
      <w:start w:val="1"/>
      <w:numFmt w:val="lowerLetter"/>
      <w:lvlText w:val="%2."/>
      <w:lvlJc w:val="left"/>
      <w:pPr>
        <w:ind w:left="1440" w:hanging="360"/>
      </w:pPr>
    </w:lvl>
    <w:lvl w:ilvl="2" w:tplc="E9C25D3A" w:tentative="1">
      <w:start w:val="1"/>
      <w:numFmt w:val="lowerRoman"/>
      <w:lvlText w:val="%3."/>
      <w:lvlJc w:val="right"/>
      <w:pPr>
        <w:ind w:left="2160" w:hanging="180"/>
      </w:pPr>
    </w:lvl>
    <w:lvl w:ilvl="3" w:tplc="FDE4970C" w:tentative="1">
      <w:start w:val="1"/>
      <w:numFmt w:val="decimal"/>
      <w:lvlText w:val="%4."/>
      <w:lvlJc w:val="left"/>
      <w:pPr>
        <w:ind w:left="2880" w:hanging="360"/>
      </w:pPr>
    </w:lvl>
    <w:lvl w:ilvl="4" w:tplc="37BA2FFA" w:tentative="1">
      <w:start w:val="1"/>
      <w:numFmt w:val="lowerLetter"/>
      <w:lvlText w:val="%5."/>
      <w:lvlJc w:val="left"/>
      <w:pPr>
        <w:ind w:left="3600" w:hanging="360"/>
      </w:pPr>
    </w:lvl>
    <w:lvl w:ilvl="5" w:tplc="FA1E161C" w:tentative="1">
      <w:start w:val="1"/>
      <w:numFmt w:val="lowerRoman"/>
      <w:lvlText w:val="%6."/>
      <w:lvlJc w:val="right"/>
      <w:pPr>
        <w:ind w:left="4320" w:hanging="180"/>
      </w:pPr>
    </w:lvl>
    <w:lvl w:ilvl="6" w:tplc="75F4892C" w:tentative="1">
      <w:start w:val="1"/>
      <w:numFmt w:val="decimal"/>
      <w:lvlText w:val="%7."/>
      <w:lvlJc w:val="left"/>
      <w:pPr>
        <w:ind w:left="5040" w:hanging="360"/>
      </w:pPr>
    </w:lvl>
    <w:lvl w:ilvl="7" w:tplc="BEAEC5F0" w:tentative="1">
      <w:start w:val="1"/>
      <w:numFmt w:val="lowerLetter"/>
      <w:lvlText w:val="%8."/>
      <w:lvlJc w:val="left"/>
      <w:pPr>
        <w:ind w:left="5760" w:hanging="360"/>
      </w:pPr>
    </w:lvl>
    <w:lvl w:ilvl="8" w:tplc="15C6D046"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7C3C6D80">
      <w:numFmt w:val="bullet"/>
      <w:lvlText w:val="–"/>
      <w:lvlJc w:val="left"/>
      <w:pPr>
        <w:ind w:left="720" w:hanging="360"/>
      </w:pPr>
      <w:rPr>
        <w:rFonts w:ascii="Times New Roman" w:eastAsia="Times New Roman" w:hAnsi="Times New Roman" w:cs="Times New Roman" w:hint="default"/>
      </w:rPr>
    </w:lvl>
    <w:lvl w:ilvl="1" w:tplc="321CCF68" w:tentative="1">
      <w:start w:val="1"/>
      <w:numFmt w:val="bullet"/>
      <w:lvlText w:val="o"/>
      <w:lvlJc w:val="left"/>
      <w:pPr>
        <w:ind w:left="1440" w:hanging="360"/>
      </w:pPr>
      <w:rPr>
        <w:rFonts w:ascii="Courier New" w:hAnsi="Courier New" w:cs="Courier New" w:hint="default"/>
      </w:rPr>
    </w:lvl>
    <w:lvl w:ilvl="2" w:tplc="6DF8421E" w:tentative="1">
      <w:start w:val="1"/>
      <w:numFmt w:val="bullet"/>
      <w:lvlText w:val=""/>
      <w:lvlJc w:val="left"/>
      <w:pPr>
        <w:ind w:left="2160" w:hanging="360"/>
      </w:pPr>
      <w:rPr>
        <w:rFonts w:ascii="Wingdings" w:hAnsi="Wingdings" w:hint="default"/>
      </w:rPr>
    </w:lvl>
    <w:lvl w:ilvl="3" w:tplc="CF381628" w:tentative="1">
      <w:start w:val="1"/>
      <w:numFmt w:val="bullet"/>
      <w:lvlText w:val=""/>
      <w:lvlJc w:val="left"/>
      <w:pPr>
        <w:ind w:left="2880" w:hanging="360"/>
      </w:pPr>
      <w:rPr>
        <w:rFonts w:ascii="Symbol" w:hAnsi="Symbol" w:hint="default"/>
      </w:rPr>
    </w:lvl>
    <w:lvl w:ilvl="4" w:tplc="3A1CBBF4" w:tentative="1">
      <w:start w:val="1"/>
      <w:numFmt w:val="bullet"/>
      <w:lvlText w:val="o"/>
      <w:lvlJc w:val="left"/>
      <w:pPr>
        <w:ind w:left="3600" w:hanging="360"/>
      </w:pPr>
      <w:rPr>
        <w:rFonts w:ascii="Courier New" w:hAnsi="Courier New" w:cs="Courier New" w:hint="default"/>
      </w:rPr>
    </w:lvl>
    <w:lvl w:ilvl="5" w:tplc="1450C728" w:tentative="1">
      <w:start w:val="1"/>
      <w:numFmt w:val="bullet"/>
      <w:lvlText w:val=""/>
      <w:lvlJc w:val="left"/>
      <w:pPr>
        <w:ind w:left="4320" w:hanging="360"/>
      </w:pPr>
      <w:rPr>
        <w:rFonts w:ascii="Wingdings" w:hAnsi="Wingdings" w:hint="default"/>
      </w:rPr>
    </w:lvl>
    <w:lvl w:ilvl="6" w:tplc="E0ACE00E" w:tentative="1">
      <w:start w:val="1"/>
      <w:numFmt w:val="bullet"/>
      <w:lvlText w:val=""/>
      <w:lvlJc w:val="left"/>
      <w:pPr>
        <w:ind w:left="5040" w:hanging="360"/>
      </w:pPr>
      <w:rPr>
        <w:rFonts w:ascii="Symbol" w:hAnsi="Symbol" w:hint="default"/>
      </w:rPr>
    </w:lvl>
    <w:lvl w:ilvl="7" w:tplc="1DDA965E" w:tentative="1">
      <w:start w:val="1"/>
      <w:numFmt w:val="bullet"/>
      <w:lvlText w:val="o"/>
      <w:lvlJc w:val="left"/>
      <w:pPr>
        <w:ind w:left="5760" w:hanging="360"/>
      </w:pPr>
      <w:rPr>
        <w:rFonts w:ascii="Courier New" w:hAnsi="Courier New" w:cs="Courier New" w:hint="default"/>
      </w:rPr>
    </w:lvl>
    <w:lvl w:ilvl="8" w:tplc="0F266C0A"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A902581C">
      <w:start w:val="2"/>
      <w:numFmt w:val="bullet"/>
      <w:lvlText w:val="–"/>
      <w:lvlJc w:val="left"/>
      <w:pPr>
        <w:ind w:left="720" w:hanging="360"/>
      </w:pPr>
      <w:rPr>
        <w:rFonts w:ascii="Times New Roman" w:eastAsia="Times New Roman" w:hAnsi="Times New Roman" w:cs="Times New Roman" w:hint="default"/>
      </w:rPr>
    </w:lvl>
    <w:lvl w:ilvl="1" w:tplc="86E6CDE6" w:tentative="1">
      <w:start w:val="1"/>
      <w:numFmt w:val="bullet"/>
      <w:lvlText w:val="o"/>
      <w:lvlJc w:val="left"/>
      <w:pPr>
        <w:ind w:left="1440" w:hanging="360"/>
      </w:pPr>
      <w:rPr>
        <w:rFonts w:ascii="Courier New" w:hAnsi="Courier New" w:cs="Courier New" w:hint="default"/>
      </w:rPr>
    </w:lvl>
    <w:lvl w:ilvl="2" w:tplc="7AD0FF9E" w:tentative="1">
      <w:start w:val="1"/>
      <w:numFmt w:val="bullet"/>
      <w:lvlText w:val=""/>
      <w:lvlJc w:val="left"/>
      <w:pPr>
        <w:ind w:left="2160" w:hanging="360"/>
      </w:pPr>
      <w:rPr>
        <w:rFonts w:ascii="Wingdings" w:hAnsi="Wingdings" w:hint="default"/>
      </w:rPr>
    </w:lvl>
    <w:lvl w:ilvl="3" w:tplc="01D4A1EA" w:tentative="1">
      <w:start w:val="1"/>
      <w:numFmt w:val="bullet"/>
      <w:lvlText w:val=""/>
      <w:lvlJc w:val="left"/>
      <w:pPr>
        <w:ind w:left="2880" w:hanging="360"/>
      </w:pPr>
      <w:rPr>
        <w:rFonts w:ascii="Symbol" w:hAnsi="Symbol" w:hint="default"/>
      </w:rPr>
    </w:lvl>
    <w:lvl w:ilvl="4" w:tplc="2534A5EA" w:tentative="1">
      <w:start w:val="1"/>
      <w:numFmt w:val="bullet"/>
      <w:lvlText w:val="o"/>
      <w:lvlJc w:val="left"/>
      <w:pPr>
        <w:ind w:left="3600" w:hanging="360"/>
      </w:pPr>
      <w:rPr>
        <w:rFonts w:ascii="Courier New" w:hAnsi="Courier New" w:cs="Courier New" w:hint="default"/>
      </w:rPr>
    </w:lvl>
    <w:lvl w:ilvl="5" w:tplc="A6F203D4" w:tentative="1">
      <w:start w:val="1"/>
      <w:numFmt w:val="bullet"/>
      <w:lvlText w:val=""/>
      <w:lvlJc w:val="left"/>
      <w:pPr>
        <w:ind w:left="4320" w:hanging="360"/>
      </w:pPr>
      <w:rPr>
        <w:rFonts w:ascii="Wingdings" w:hAnsi="Wingdings" w:hint="default"/>
      </w:rPr>
    </w:lvl>
    <w:lvl w:ilvl="6" w:tplc="2ACE673A" w:tentative="1">
      <w:start w:val="1"/>
      <w:numFmt w:val="bullet"/>
      <w:lvlText w:val=""/>
      <w:lvlJc w:val="left"/>
      <w:pPr>
        <w:ind w:left="5040" w:hanging="360"/>
      </w:pPr>
      <w:rPr>
        <w:rFonts w:ascii="Symbol" w:hAnsi="Symbol" w:hint="default"/>
      </w:rPr>
    </w:lvl>
    <w:lvl w:ilvl="7" w:tplc="804A209A" w:tentative="1">
      <w:start w:val="1"/>
      <w:numFmt w:val="bullet"/>
      <w:lvlText w:val="o"/>
      <w:lvlJc w:val="left"/>
      <w:pPr>
        <w:ind w:left="5760" w:hanging="360"/>
      </w:pPr>
      <w:rPr>
        <w:rFonts w:ascii="Courier New" w:hAnsi="Courier New" w:cs="Courier New" w:hint="default"/>
      </w:rPr>
    </w:lvl>
    <w:lvl w:ilvl="8" w:tplc="3B18613E"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E196F2C2">
      <w:start w:val="1"/>
      <w:numFmt w:val="bullet"/>
      <w:lvlText w:val=""/>
      <w:lvlJc w:val="left"/>
      <w:pPr>
        <w:ind w:left="720" w:hanging="360"/>
      </w:pPr>
      <w:rPr>
        <w:rFonts w:ascii="Symbol" w:hAnsi="Symbol" w:hint="default"/>
      </w:rPr>
    </w:lvl>
    <w:lvl w:ilvl="1" w:tplc="AFC8317C" w:tentative="1">
      <w:start w:val="1"/>
      <w:numFmt w:val="bullet"/>
      <w:lvlText w:val="o"/>
      <w:lvlJc w:val="left"/>
      <w:pPr>
        <w:ind w:left="1440" w:hanging="360"/>
      </w:pPr>
      <w:rPr>
        <w:rFonts w:ascii="Courier New" w:hAnsi="Courier New" w:cs="Courier New" w:hint="default"/>
      </w:rPr>
    </w:lvl>
    <w:lvl w:ilvl="2" w:tplc="E89A0C54" w:tentative="1">
      <w:start w:val="1"/>
      <w:numFmt w:val="bullet"/>
      <w:lvlText w:val=""/>
      <w:lvlJc w:val="left"/>
      <w:pPr>
        <w:ind w:left="2160" w:hanging="360"/>
      </w:pPr>
      <w:rPr>
        <w:rFonts w:ascii="Wingdings" w:hAnsi="Wingdings" w:hint="default"/>
      </w:rPr>
    </w:lvl>
    <w:lvl w:ilvl="3" w:tplc="4A2A8FD6" w:tentative="1">
      <w:start w:val="1"/>
      <w:numFmt w:val="bullet"/>
      <w:lvlText w:val=""/>
      <w:lvlJc w:val="left"/>
      <w:pPr>
        <w:ind w:left="2880" w:hanging="360"/>
      </w:pPr>
      <w:rPr>
        <w:rFonts w:ascii="Symbol" w:hAnsi="Symbol" w:hint="default"/>
      </w:rPr>
    </w:lvl>
    <w:lvl w:ilvl="4" w:tplc="6FA8D94C" w:tentative="1">
      <w:start w:val="1"/>
      <w:numFmt w:val="bullet"/>
      <w:lvlText w:val="o"/>
      <w:lvlJc w:val="left"/>
      <w:pPr>
        <w:ind w:left="3600" w:hanging="360"/>
      </w:pPr>
      <w:rPr>
        <w:rFonts w:ascii="Courier New" w:hAnsi="Courier New" w:cs="Courier New" w:hint="default"/>
      </w:rPr>
    </w:lvl>
    <w:lvl w:ilvl="5" w:tplc="D5C466AA" w:tentative="1">
      <w:start w:val="1"/>
      <w:numFmt w:val="bullet"/>
      <w:lvlText w:val=""/>
      <w:lvlJc w:val="left"/>
      <w:pPr>
        <w:ind w:left="4320" w:hanging="360"/>
      </w:pPr>
      <w:rPr>
        <w:rFonts w:ascii="Wingdings" w:hAnsi="Wingdings" w:hint="default"/>
      </w:rPr>
    </w:lvl>
    <w:lvl w:ilvl="6" w:tplc="E2C896D8" w:tentative="1">
      <w:start w:val="1"/>
      <w:numFmt w:val="bullet"/>
      <w:lvlText w:val=""/>
      <w:lvlJc w:val="left"/>
      <w:pPr>
        <w:ind w:left="5040" w:hanging="360"/>
      </w:pPr>
      <w:rPr>
        <w:rFonts w:ascii="Symbol" w:hAnsi="Symbol" w:hint="default"/>
      </w:rPr>
    </w:lvl>
    <w:lvl w:ilvl="7" w:tplc="50203A6C" w:tentative="1">
      <w:start w:val="1"/>
      <w:numFmt w:val="bullet"/>
      <w:lvlText w:val="o"/>
      <w:lvlJc w:val="left"/>
      <w:pPr>
        <w:ind w:left="5760" w:hanging="360"/>
      </w:pPr>
      <w:rPr>
        <w:rFonts w:ascii="Courier New" w:hAnsi="Courier New" w:cs="Courier New" w:hint="default"/>
      </w:rPr>
    </w:lvl>
    <w:lvl w:ilvl="8" w:tplc="CA34BC4A"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68B69D08">
      <w:numFmt w:val="bullet"/>
      <w:lvlText w:val="–"/>
      <w:lvlJc w:val="left"/>
      <w:pPr>
        <w:ind w:left="720" w:hanging="360"/>
      </w:pPr>
      <w:rPr>
        <w:rFonts w:ascii="Times New Roman" w:eastAsia="Times New Roman" w:hAnsi="Times New Roman" w:cs="Times New Roman" w:hint="default"/>
      </w:rPr>
    </w:lvl>
    <w:lvl w:ilvl="1" w:tplc="D9E2424C" w:tentative="1">
      <w:start w:val="1"/>
      <w:numFmt w:val="bullet"/>
      <w:lvlText w:val="o"/>
      <w:lvlJc w:val="left"/>
      <w:pPr>
        <w:ind w:left="1440" w:hanging="360"/>
      </w:pPr>
      <w:rPr>
        <w:rFonts w:ascii="Courier New" w:hAnsi="Courier New" w:cs="Courier New" w:hint="default"/>
      </w:rPr>
    </w:lvl>
    <w:lvl w:ilvl="2" w:tplc="B262FCD4" w:tentative="1">
      <w:start w:val="1"/>
      <w:numFmt w:val="bullet"/>
      <w:lvlText w:val=""/>
      <w:lvlJc w:val="left"/>
      <w:pPr>
        <w:ind w:left="2160" w:hanging="360"/>
      </w:pPr>
      <w:rPr>
        <w:rFonts w:ascii="Wingdings" w:hAnsi="Wingdings" w:hint="default"/>
      </w:rPr>
    </w:lvl>
    <w:lvl w:ilvl="3" w:tplc="DF5C8C9E" w:tentative="1">
      <w:start w:val="1"/>
      <w:numFmt w:val="bullet"/>
      <w:lvlText w:val=""/>
      <w:lvlJc w:val="left"/>
      <w:pPr>
        <w:ind w:left="2880" w:hanging="360"/>
      </w:pPr>
      <w:rPr>
        <w:rFonts w:ascii="Symbol" w:hAnsi="Symbol" w:hint="default"/>
      </w:rPr>
    </w:lvl>
    <w:lvl w:ilvl="4" w:tplc="2A185F38" w:tentative="1">
      <w:start w:val="1"/>
      <w:numFmt w:val="bullet"/>
      <w:lvlText w:val="o"/>
      <w:lvlJc w:val="left"/>
      <w:pPr>
        <w:ind w:left="3600" w:hanging="360"/>
      </w:pPr>
      <w:rPr>
        <w:rFonts w:ascii="Courier New" w:hAnsi="Courier New" w:cs="Courier New" w:hint="default"/>
      </w:rPr>
    </w:lvl>
    <w:lvl w:ilvl="5" w:tplc="867853B4" w:tentative="1">
      <w:start w:val="1"/>
      <w:numFmt w:val="bullet"/>
      <w:lvlText w:val=""/>
      <w:lvlJc w:val="left"/>
      <w:pPr>
        <w:ind w:left="4320" w:hanging="360"/>
      </w:pPr>
      <w:rPr>
        <w:rFonts w:ascii="Wingdings" w:hAnsi="Wingdings" w:hint="default"/>
      </w:rPr>
    </w:lvl>
    <w:lvl w:ilvl="6" w:tplc="B266A51E" w:tentative="1">
      <w:start w:val="1"/>
      <w:numFmt w:val="bullet"/>
      <w:lvlText w:val=""/>
      <w:lvlJc w:val="left"/>
      <w:pPr>
        <w:ind w:left="5040" w:hanging="360"/>
      </w:pPr>
      <w:rPr>
        <w:rFonts w:ascii="Symbol" w:hAnsi="Symbol" w:hint="default"/>
      </w:rPr>
    </w:lvl>
    <w:lvl w:ilvl="7" w:tplc="DCE00A9A" w:tentative="1">
      <w:start w:val="1"/>
      <w:numFmt w:val="bullet"/>
      <w:lvlText w:val="o"/>
      <w:lvlJc w:val="left"/>
      <w:pPr>
        <w:ind w:left="5760" w:hanging="360"/>
      </w:pPr>
      <w:rPr>
        <w:rFonts w:ascii="Courier New" w:hAnsi="Courier New" w:cs="Courier New" w:hint="default"/>
      </w:rPr>
    </w:lvl>
    <w:lvl w:ilvl="8" w:tplc="1350318C"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FB00D124">
      <w:numFmt w:val="bullet"/>
      <w:lvlText w:val="–"/>
      <w:lvlJc w:val="left"/>
      <w:pPr>
        <w:ind w:left="720" w:hanging="360"/>
      </w:pPr>
      <w:rPr>
        <w:rFonts w:ascii="Times New Roman" w:eastAsia="Times New Roman" w:hAnsi="Times New Roman" w:cs="Times New Roman" w:hint="default"/>
      </w:rPr>
    </w:lvl>
    <w:lvl w:ilvl="1" w:tplc="C7B04C12" w:tentative="1">
      <w:start w:val="1"/>
      <w:numFmt w:val="bullet"/>
      <w:lvlText w:val="o"/>
      <w:lvlJc w:val="left"/>
      <w:pPr>
        <w:ind w:left="1440" w:hanging="360"/>
      </w:pPr>
      <w:rPr>
        <w:rFonts w:ascii="Courier New" w:hAnsi="Courier New" w:cs="Courier New" w:hint="default"/>
      </w:rPr>
    </w:lvl>
    <w:lvl w:ilvl="2" w:tplc="D83063AE" w:tentative="1">
      <w:start w:val="1"/>
      <w:numFmt w:val="bullet"/>
      <w:lvlText w:val=""/>
      <w:lvlJc w:val="left"/>
      <w:pPr>
        <w:ind w:left="2160" w:hanging="360"/>
      </w:pPr>
      <w:rPr>
        <w:rFonts w:ascii="Wingdings" w:hAnsi="Wingdings" w:hint="default"/>
      </w:rPr>
    </w:lvl>
    <w:lvl w:ilvl="3" w:tplc="946A31DA" w:tentative="1">
      <w:start w:val="1"/>
      <w:numFmt w:val="bullet"/>
      <w:lvlText w:val=""/>
      <w:lvlJc w:val="left"/>
      <w:pPr>
        <w:ind w:left="2880" w:hanging="360"/>
      </w:pPr>
      <w:rPr>
        <w:rFonts w:ascii="Symbol" w:hAnsi="Symbol" w:hint="default"/>
      </w:rPr>
    </w:lvl>
    <w:lvl w:ilvl="4" w:tplc="C994CBC4" w:tentative="1">
      <w:start w:val="1"/>
      <w:numFmt w:val="bullet"/>
      <w:lvlText w:val="o"/>
      <w:lvlJc w:val="left"/>
      <w:pPr>
        <w:ind w:left="3600" w:hanging="360"/>
      </w:pPr>
      <w:rPr>
        <w:rFonts w:ascii="Courier New" w:hAnsi="Courier New" w:cs="Courier New" w:hint="default"/>
      </w:rPr>
    </w:lvl>
    <w:lvl w:ilvl="5" w:tplc="9E22FD80" w:tentative="1">
      <w:start w:val="1"/>
      <w:numFmt w:val="bullet"/>
      <w:lvlText w:val=""/>
      <w:lvlJc w:val="left"/>
      <w:pPr>
        <w:ind w:left="4320" w:hanging="360"/>
      </w:pPr>
      <w:rPr>
        <w:rFonts w:ascii="Wingdings" w:hAnsi="Wingdings" w:hint="default"/>
      </w:rPr>
    </w:lvl>
    <w:lvl w:ilvl="6" w:tplc="D8BE9E26" w:tentative="1">
      <w:start w:val="1"/>
      <w:numFmt w:val="bullet"/>
      <w:lvlText w:val=""/>
      <w:lvlJc w:val="left"/>
      <w:pPr>
        <w:ind w:left="5040" w:hanging="360"/>
      </w:pPr>
      <w:rPr>
        <w:rFonts w:ascii="Symbol" w:hAnsi="Symbol" w:hint="default"/>
      </w:rPr>
    </w:lvl>
    <w:lvl w:ilvl="7" w:tplc="AAA85DC0" w:tentative="1">
      <w:start w:val="1"/>
      <w:numFmt w:val="bullet"/>
      <w:lvlText w:val="o"/>
      <w:lvlJc w:val="left"/>
      <w:pPr>
        <w:ind w:left="5760" w:hanging="360"/>
      </w:pPr>
      <w:rPr>
        <w:rFonts w:ascii="Courier New" w:hAnsi="Courier New" w:cs="Courier New" w:hint="default"/>
      </w:rPr>
    </w:lvl>
    <w:lvl w:ilvl="8" w:tplc="F0CA086A"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32CA7D2">
      <w:start w:val="1"/>
      <w:numFmt w:val="bullet"/>
      <w:lvlText w:val=""/>
      <w:lvlJc w:val="left"/>
      <w:pPr>
        <w:ind w:left="720" w:hanging="360"/>
      </w:pPr>
      <w:rPr>
        <w:rFonts w:ascii="Symbol" w:hAnsi="Symbol" w:hint="default"/>
      </w:rPr>
    </w:lvl>
    <w:lvl w:ilvl="1" w:tplc="981006BE" w:tentative="1">
      <w:start w:val="1"/>
      <w:numFmt w:val="bullet"/>
      <w:lvlText w:val="o"/>
      <w:lvlJc w:val="left"/>
      <w:pPr>
        <w:ind w:left="1440" w:hanging="360"/>
      </w:pPr>
      <w:rPr>
        <w:rFonts w:ascii="Courier New" w:hAnsi="Courier New" w:cs="Courier New" w:hint="default"/>
      </w:rPr>
    </w:lvl>
    <w:lvl w:ilvl="2" w:tplc="22F097EC" w:tentative="1">
      <w:start w:val="1"/>
      <w:numFmt w:val="bullet"/>
      <w:lvlText w:val=""/>
      <w:lvlJc w:val="left"/>
      <w:pPr>
        <w:ind w:left="2160" w:hanging="360"/>
      </w:pPr>
      <w:rPr>
        <w:rFonts w:ascii="Wingdings" w:hAnsi="Wingdings" w:hint="default"/>
      </w:rPr>
    </w:lvl>
    <w:lvl w:ilvl="3" w:tplc="B18A6856" w:tentative="1">
      <w:start w:val="1"/>
      <w:numFmt w:val="bullet"/>
      <w:lvlText w:val=""/>
      <w:lvlJc w:val="left"/>
      <w:pPr>
        <w:ind w:left="2880" w:hanging="360"/>
      </w:pPr>
      <w:rPr>
        <w:rFonts w:ascii="Symbol" w:hAnsi="Symbol" w:hint="default"/>
      </w:rPr>
    </w:lvl>
    <w:lvl w:ilvl="4" w:tplc="17104084" w:tentative="1">
      <w:start w:val="1"/>
      <w:numFmt w:val="bullet"/>
      <w:lvlText w:val="o"/>
      <w:lvlJc w:val="left"/>
      <w:pPr>
        <w:ind w:left="3600" w:hanging="360"/>
      </w:pPr>
      <w:rPr>
        <w:rFonts w:ascii="Courier New" w:hAnsi="Courier New" w:cs="Courier New" w:hint="default"/>
      </w:rPr>
    </w:lvl>
    <w:lvl w:ilvl="5" w:tplc="6F06A1DC" w:tentative="1">
      <w:start w:val="1"/>
      <w:numFmt w:val="bullet"/>
      <w:lvlText w:val=""/>
      <w:lvlJc w:val="left"/>
      <w:pPr>
        <w:ind w:left="4320" w:hanging="360"/>
      </w:pPr>
      <w:rPr>
        <w:rFonts w:ascii="Wingdings" w:hAnsi="Wingdings" w:hint="default"/>
      </w:rPr>
    </w:lvl>
    <w:lvl w:ilvl="6" w:tplc="0FA0DD38" w:tentative="1">
      <w:start w:val="1"/>
      <w:numFmt w:val="bullet"/>
      <w:lvlText w:val=""/>
      <w:lvlJc w:val="left"/>
      <w:pPr>
        <w:ind w:left="5040" w:hanging="360"/>
      </w:pPr>
      <w:rPr>
        <w:rFonts w:ascii="Symbol" w:hAnsi="Symbol" w:hint="default"/>
      </w:rPr>
    </w:lvl>
    <w:lvl w:ilvl="7" w:tplc="6CE28682" w:tentative="1">
      <w:start w:val="1"/>
      <w:numFmt w:val="bullet"/>
      <w:lvlText w:val="o"/>
      <w:lvlJc w:val="left"/>
      <w:pPr>
        <w:ind w:left="5760" w:hanging="360"/>
      </w:pPr>
      <w:rPr>
        <w:rFonts w:ascii="Courier New" w:hAnsi="Courier New" w:cs="Courier New" w:hint="default"/>
      </w:rPr>
    </w:lvl>
    <w:lvl w:ilvl="8" w:tplc="8A069EDA"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42089438">
      <w:start w:val="1"/>
      <w:numFmt w:val="bullet"/>
      <w:lvlText w:val=""/>
      <w:lvlJc w:val="left"/>
      <w:pPr>
        <w:ind w:left="720" w:hanging="360"/>
      </w:pPr>
      <w:rPr>
        <w:rFonts w:ascii="Symbol" w:hAnsi="Symbol" w:hint="default"/>
      </w:rPr>
    </w:lvl>
    <w:lvl w:ilvl="1" w:tplc="BD0060D8" w:tentative="1">
      <w:start w:val="1"/>
      <w:numFmt w:val="bullet"/>
      <w:lvlText w:val="o"/>
      <w:lvlJc w:val="left"/>
      <w:pPr>
        <w:ind w:left="1440" w:hanging="360"/>
      </w:pPr>
      <w:rPr>
        <w:rFonts w:ascii="Courier New" w:hAnsi="Courier New" w:cs="Courier New" w:hint="default"/>
      </w:rPr>
    </w:lvl>
    <w:lvl w:ilvl="2" w:tplc="B59CCE54" w:tentative="1">
      <w:start w:val="1"/>
      <w:numFmt w:val="bullet"/>
      <w:lvlText w:val=""/>
      <w:lvlJc w:val="left"/>
      <w:pPr>
        <w:ind w:left="2160" w:hanging="360"/>
      </w:pPr>
      <w:rPr>
        <w:rFonts w:ascii="Wingdings" w:hAnsi="Wingdings" w:hint="default"/>
      </w:rPr>
    </w:lvl>
    <w:lvl w:ilvl="3" w:tplc="21F4EB96" w:tentative="1">
      <w:start w:val="1"/>
      <w:numFmt w:val="bullet"/>
      <w:lvlText w:val=""/>
      <w:lvlJc w:val="left"/>
      <w:pPr>
        <w:ind w:left="2880" w:hanging="360"/>
      </w:pPr>
      <w:rPr>
        <w:rFonts w:ascii="Symbol" w:hAnsi="Symbol" w:hint="default"/>
      </w:rPr>
    </w:lvl>
    <w:lvl w:ilvl="4" w:tplc="6382DA1C" w:tentative="1">
      <w:start w:val="1"/>
      <w:numFmt w:val="bullet"/>
      <w:lvlText w:val="o"/>
      <w:lvlJc w:val="left"/>
      <w:pPr>
        <w:ind w:left="3600" w:hanging="360"/>
      </w:pPr>
      <w:rPr>
        <w:rFonts w:ascii="Courier New" w:hAnsi="Courier New" w:cs="Courier New" w:hint="default"/>
      </w:rPr>
    </w:lvl>
    <w:lvl w:ilvl="5" w:tplc="1CE856DE" w:tentative="1">
      <w:start w:val="1"/>
      <w:numFmt w:val="bullet"/>
      <w:lvlText w:val=""/>
      <w:lvlJc w:val="left"/>
      <w:pPr>
        <w:ind w:left="4320" w:hanging="360"/>
      </w:pPr>
      <w:rPr>
        <w:rFonts w:ascii="Wingdings" w:hAnsi="Wingdings" w:hint="default"/>
      </w:rPr>
    </w:lvl>
    <w:lvl w:ilvl="6" w:tplc="F496B3B4" w:tentative="1">
      <w:start w:val="1"/>
      <w:numFmt w:val="bullet"/>
      <w:lvlText w:val=""/>
      <w:lvlJc w:val="left"/>
      <w:pPr>
        <w:ind w:left="5040" w:hanging="360"/>
      </w:pPr>
      <w:rPr>
        <w:rFonts w:ascii="Symbol" w:hAnsi="Symbol" w:hint="default"/>
      </w:rPr>
    </w:lvl>
    <w:lvl w:ilvl="7" w:tplc="928EFCAE" w:tentative="1">
      <w:start w:val="1"/>
      <w:numFmt w:val="bullet"/>
      <w:lvlText w:val="o"/>
      <w:lvlJc w:val="left"/>
      <w:pPr>
        <w:ind w:left="5760" w:hanging="360"/>
      </w:pPr>
      <w:rPr>
        <w:rFonts w:ascii="Courier New" w:hAnsi="Courier New" w:cs="Courier New" w:hint="default"/>
      </w:rPr>
    </w:lvl>
    <w:lvl w:ilvl="8" w:tplc="503A1928"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EDDA8324">
      <w:numFmt w:val="bullet"/>
      <w:lvlText w:val=""/>
      <w:lvlJc w:val="left"/>
      <w:pPr>
        <w:ind w:left="420" w:hanging="360"/>
      </w:pPr>
      <w:rPr>
        <w:rFonts w:ascii="Symbol" w:eastAsia="Times New Roman" w:hAnsi="Symbol" w:cs="Times New Roman" w:hint="default"/>
      </w:rPr>
    </w:lvl>
    <w:lvl w:ilvl="1" w:tplc="63A6312E" w:tentative="1">
      <w:start w:val="1"/>
      <w:numFmt w:val="bullet"/>
      <w:lvlText w:val="o"/>
      <w:lvlJc w:val="left"/>
      <w:pPr>
        <w:tabs>
          <w:tab w:val="num" w:pos="1440"/>
        </w:tabs>
        <w:ind w:left="1440" w:hanging="360"/>
      </w:pPr>
      <w:rPr>
        <w:rFonts w:ascii="Courier New" w:hAnsi="Courier New" w:cs="Courier New" w:hint="default"/>
      </w:rPr>
    </w:lvl>
    <w:lvl w:ilvl="2" w:tplc="25A0C8B6" w:tentative="1">
      <w:start w:val="1"/>
      <w:numFmt w:val="bullet"/>
      <w:lvlText w:val=""/>
      <w:lvlJc w:val="left"/>
      <w:pPr>
        <w:tabs>
          <w:tab w:val="num" w:pos="2160"/>
        </w:tabs>
        <w:ind w:left="2160" w:hanging="360"/>
      </w:pPr>
      <w:rPr>
        <w:rFonts w:ascii="Wingdings" w:hAnsi="Wingdings" w:hint="default"/>
      </w:rPr>
    </w:lvl>
    <w:lvl w:ilvl="3" w:tplc="8F960E66" w:tentative="1">
      <w:start w:val="1"/>
      <w:numFmt w:val="bullet"/>
      <w:lvlText w:val=""/>
      <w:lvlJc w:val="left"/>
      <w:pPr>
        <w:tabs>
          <w:tab w:val="num" w:pos="2880"/>
        </w:tabs>
        <w:ind w:left="2880" w:hanging="360"/>
      </w:pPr>
      <w:rPr>
        <w:rFonts w:ascii="Symbol" w:hAnsi="Symbol" w:hint="default"/>
      </w:rPr>
    </w:lvl>
    <w:lvl w:ilvl="4" w:tplc="B082F126" w:tentative="1">
      <w:start w:val="1"/>
      <w:numFmt w:val="bullet"/>
      <w:lvlText w:val="o"/>
      <w:lvlJc w:val="left"/>
      <w:pPr>
        <w:tabs>
          <w:tab w:val="num" w:pos="3600"/>
        </w:tabs>
        <w:ind w:left="3600" w:hanging="360"/>
      </w:pPr>
      <w:rPr>
        <w:rFonts w:ascii="Courier New" w:hAnsi="Courier New" w:cs="Courier New" w:hint="default"/>
      </w:rPr>
    </w:lvl>
    <w:lvl w:ilvl="5" w:tplc="DD0CCA1C" w:tentative="1">
      <w:start w:val="1"/>
      <w:numFmt w:val="bullet"/>
      <w:lvlText w:val=""/>
      <w:lvlJc w:val="left"/>
      <w:pPr>
        <w:tabs>
          <w:tab w:val="num" w:pos="4320"/>
        </w:tabs>
        <w:ind w:left="4320" w:hanging="360"/>
      </w:pPr>
      <w:rPr>
        <w:rFonts w:ascii="Wingdings" w:hAnsi="Wingdings" w:hint="default"/>
      </w:rPr>
    </w:lvl>
    <w:lvl w:ilvl="6" w:tplc="29E6D402" w:tentative="1">
      <w:start w:val="1"/>
      <w:numFmt w:val="bullet"/>
      <w:lvlText w:val=""/>
      <w:lvlJc w:val="left"/>
      <w:pPr>
        <w:tabs>
          <w:tab w:val="num" w:pos="5040"/>
        </w:tabs>
        <w:ind w:left="5040" w:hanging="360"/>
      </w:pPr>
      <w:rPr>
        <w:rFonts w:ascii="Symbol" w:hAnsi="Symbol" w:hint="default"/>
      </w:rPr>
    </w:lvl>
    <w:lvl w:ilvl="7" w:tplc="D0783EC6" w:tentative="1">
      <w:start w:val="1"/>
      <w:numFmt w:val="bullet"/>
      <w:lvlText w:val="o"/>
      <w:lvlJc w:val="left"/>
      <w:pPr>
        <w:tabs>
          <w:tab w:val="num" w:pos="5760"/>
        </w:tabs>
        <w:ind w:left="5760" w:hanging="360"/>
      </w:pPr>
      <w:rPr>
        <w:rFonts w:ascii="Courier New" w:hAnsi="Courier New" w:cs="Courier New" w:hint="default"/>
      </w:rPr>
    </w:lvl>
    <w:lvl w:ilvl="8" w:tplc="805E2C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FB26A952">
      <w:start w:val="1"/>
      <w:numFmt w:val="bullet"/>
      <w:lvlText w:val=""/>
      <w:lvlJc w:val="left"/>
      <w:pPr>
        <w:ind w:left="720" w:hanging="360"/>
      </w:pPr>
      <w:rPr>
        <w:rFonts w:ascii="Symbol" w:hAnsi="Symbol" w:hint="default"/>
      </w:rPr>
    </w:lvl>
    <w:lvl w:ilvl="1" w:tplc="1ADCEE54" w:tentative="1">
      <w:start w:val="1"/>
      <w:numFmt w:val="bullet"/>
      <w:lvlText w:val="o"/>
      <w:lvlJc w:val="left"/>
      <w:pPr>
        <w:ind w:left="1440" w:hanging="360"/>
      </w:pPr>
      <w:rPr>
        <w:rFonts w:ascii="Courier New" w:hAnsi="Courier New" w:cs="Courier New" w:hint="default"/>
      </w:rPr>
    </w:lvl>
    <w:lvl w:ilvl="2" w:tplc="C3288DAE" w:tentative="1">
      <w:start w:val="1"/>
      <w:numFmt w:val="bullet"/>
      <w:lvlText w:val=""/>
      <w:lvlJc w:val="left"/>
      <w:pPr>
        <w:ind w:left="2160" w:hanging="360"/>
      </w:pPr>
      <w:rPr>
        <w:rFonts w:ascii="Wingdings" w:hAnsi="Wingdings" w:hint="default"/>
      </w:rPr>
    </w:lvl>
    <w:lvl w:ilvl="3" w:tplc="B3287C88" w:tentative="1">
      <w:start w:val="1"/>
      <w:numFmt w:val="bullet"/>
      <w:lvlText w:val=""/>
      <w:lvlJc w:val="left"/>
      <w:pPr>
        <w:ind w:left="2880" w:hanging="360"/>
      </w:pPr>
      <w:rPr>
        <w:rFonts w:ascii="Symbol" w:hAnsi="Symbol" w:hint="default"/>
      </w:rPr>
    </w:lvl>
    <w:lvl w:ilvl="4" w:tplc="F848A726" w:tentative="1">
      <w:start w:val="1"/>
      <w:numFmt w:val="bullet"/>
      <w:lvlText w:val="o"/>
      <w:lvlJc w:val="left"/>
      <w:pPr>
        <w:ind w:left="3600" w:hanging="360"/>
      </w:pPr>
      <w:rPr>
        <w:rFonts w:ascii="Courier New" w:hAnsi="Courier New" w:cs="Courier New" w:hint="default"/>
      </w:rPr>
    </w:lvl>
    <w:lvl w:ilvl="5" w:tplc="F2A8D3C0" w:tentative="1">
      <w:start w:val="1"/>
      <w:numFmt w:val="bullet"/>
      <w:lvlText w:val=""/>
      <w:lvlJc w:val="left"/>
      <w:pPr>
        <w:ind w:left="4320" w:hanging="360"/>
      </w:pPr>
      <w:rPr>
        <w:rFonts w:ascii="Wingdings" w:hAnsi="Wingdings" w:hint="default"/>
      </w:rPr>
    </w:lvl>
    <w:lvl w:ilvl="6" w:tplc="F252BC58" w:tentative="1">
      <w:start w:val="1"/>
      <w:numFmt w:val="bullet"/>
      <w:lvlText w:val=""/>
      <w:lvlJc w:val="left"/>
      <w:pPr>
        <w:ind w:left="5040" w:hanging="360"/>
      </w:pPr>
      <w:rPr>
        <w:rFonts w:ascii="Symbol" w:hAnsi="Symbol" w:hint="default"/>
      </w:rPr>
    </w:lvl>
    <w:lvl w:ilvl="7" w:tplc="F9B07C04" w:tentative="1">
      <w:start w:val="1"/>
      <w:numFmt w:val="bullet"/>
      <w:lvlText w:val="o"/>
      <w:lvlJc w:val="left"/>
      <w:pPr>
        <w:ind w:left="5760" w:hanging="360"/>
      </w:pPr>
      <w:rPr>
        <w:rFonts w:ascii="Courier New" w:hAnsi="Courier New" w:cs="Courier New" w:hint="default"/>
      </w:rPr>
    </w:lvl>
    <w:lvl w:ilvl="8" w:tplc="44D4E8CC"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64C66EA8">
      <w:numFmt w:val="bullet"/>
      <w:lvlText w:val=""/>
      <w:lvlJc w:val="left"/>
      <w:pPr>
        <w:ind w:left="420" w:hanging="360"/>
      </w:pPr>
      <w:rPr>
        <w:rFonts w:ascii="Symbol" w:eastAsia="Times New Roman" w:hAnsi="Symbol" w:cs="Times New Roman" w:hint="default"/>
      </w:rPr>
    </w:lvl>
    <w:lvl w:ilvl="1" w:tplc="B5B8FE3C" w:tentative="1">
      <w:start w:val="1"/>
      <w:numFmt w:val="bullet"/>
      <w:lvlText w:val="o"/>
      <w:lvlJc w:val="left"/>
      <w:pPr>
        <w:tabs>
          <w:tab w:val="num" w:pos="1440"/>
        </w:tabs>
        <w:ind w:left="1440" w:hanging="360"/>
      </w:pPr>
      <w:rPr>
        <w:rFonts w:ascii="Courier New" w:hAnsi="Courier New" w:cs="Courier New" w:hint="default"/>
      </w:rPr>
    </w:lvl>
    <w:lvl w:ilvl="2" w:tplc="07EC56A8" w:tentative="1">
      <w:start w:val="1"/>
      <w:numFmt w:val="bullet"/>
      <w:lvlText w:val=""/>
      <w:lvlJc w:val="left"/>
      <w:pPr>
        <w:tabs>
          <w:tab w:val="num" w:pos="2160"/>
        </w:tabs>
        <w:ind w:left="2160" w:hanging="360"/>
      </w:pPr>
      <w:rPr>
        <w:rFonts w:ascii="Wingdings" w:hAnsi="Wingdings" w:hint="default"/>
      </w:rPr>
    </w:lvl>
    <w:lvl w:ilvl="3" w:tplc="E35A942C" w:tentative="1">
      <w:start w:val="1"/>
      <w:numFmt w:val="bullet"/>
      <w:lvlText w:val=""/>
      <w:lvlJc w:val="left"/>
      <w:pPr>
        <w:tabs>
          <w:tab w:val="num" w:pos="2880"/>
        </w:tabs>
        <w:ind w:left="2880" w:hanging="360"/>
      </w:pPr>
      <w:rPr>
        <w:rFonts w:ascii="Symbol" w:hAnsi="Symbol" w:hint="default"/>
      </w:rPr>
    </w:lvl>
    <w:lvl w:ilvl="4" w:tplc="D01C5D34" w:tentative="1">
      <w:start w:val="1"/>
      <w:numFmt w:val="bullet"/>
      <w:lvlText w:val="o"/>
      <w:lvlJc w:val="left"/>
      <w:pPr>
        <w:tabs>
          <w:tab w:val="num" w:pos="3600"/>
        </w:tabs>
        <w:ind w:left="3600" w:hanging="360"/>
      </w:pPr>
      <w:rPr>
        <w:rFonts w:ascii="Courier New" w:hAnsi="Courier New" w:cs="Courier New" w:hint="default"/>
      </w:rPr>
    </w:lvl>
    <w:lvl w:ilvl="5" w:tplc="E9DE76FE" w:tentative="1">
      <w:start w:val="1"/>
      <w:numFmt w:val="bullet"/>
      <w:lvlText w:val=""/>
      <w:lvlJc w:val="left"/>
      <w:pPr>
        <w:tabs>
          <w:tab w:val="num" w:pos="4320"/>
        </w:tabs>
        <w:ind w:left="4320" w:hanging="360"/>
      </w:pPr>
      <w:rPr>
        <w:rFonts w:ascii="Wingdings" w:hAnsi="Wingdings" w:hint="default"/>
      </w:rPr>
    </w:lvl>
    <w:lvl w:ilvl="6" w:tplc="77F2E850" w:tentative="1">
      <w:start w:val="1"/>
      <w:numFmt w:val="bullet"/>
      <w:lvlText w:val=""/>
      <w:lvlJc w:val="left"/>
      <w:pPr>
        <w:tabs>
          <w:tab w:val="num" w:pos="5040"/>
        </w:tabs>
        <w:ind w:left="5040" w:hanging="360"/>
      </w:pPr>
      <w:rPr>
        <w:rFonts w:ascii="Symbol" w:hAnsi="Symbol" w:hint="default"/>
      </w:rPr>
    </w:lvl>
    <w:lvl w:ilvl="7" w:tplc="ED3A893C" w:tentative="1">
      <w:start w:val="1"/>
      <w:numFmt w:val="bullet"/>
      <w:lvlText w:val="o"/>
      <w:lvlJc w:val="left"/>
      <w:pPr>
        <w:tabs>
          <w:tab w:val="num" w:pos="5760"/>
        </w:tabs>
        <w:ind w:left="5760" w:hanging="360"/>
      </w:pPr>
      <w:rPr>
        <w:rFonts w:ascii="Courier New" w:hAnsi="Courier New" w:cs="Courier New" w:hint="default"/>
      </w:rPr>
    </w:lvl>
    <w:lvl w:ilvl="8" w:tplc="324CFA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466297B0">
      <w:start w:val="1"/>
      <w:numFmt w:val="bullet"/>
      <w:lvlText w:val="–"/>
      <w:lvlJc w:val="left"/>
      <w:pPr>
        <w:ind w:left="720" w:hanging="360"/>
      </w:pPr>
      <w:rPr>
        <w:rFonts w:ascii="Times New Roman" w:eastAsia="Times New Roman" w:hAnsi="Times New Roman" w:cs="Times New Roman" w:hint="default"/>
      </w:rPr>
    </w:lvl>
    <w:lvl w:ilvl="1" w:tplc="CD56FFAE" w:tentative="1">
      <w:start w:val="1"/>
      <w:numFmt w:val="bullet"/>
      <w:lvlText w:val="o"/>
      <w:lvlJc w:val="left"/>
      <w:pPr>
        <w:ind w:left="1440" w:hanging="360"/>
      </w:pPr>
      <w:rPr>
        <w:rFonts w:ascii="Courier New" w:hAnsi="Courier New" w:cs="Courier New" w:hint="default"/>
      </w:rPr>
    </w:lvl>
    <w:lvl w:ilvl="2" w:tplc="5560D5A4" w:tentative="1">
      <w:start w:val="1"/>
      <w:numFmt w:val="bullet"/>
      <w:lvlText w:val=""/>
      <w:lvlJc w:val="left"/>
      <w:pPr>
        <w:ind w:left="2160" w:hanging="360"/>
      </w:pPr>
      <w:rPr>
        <w:rFonts w:ascii="Wingdings" w:hAnsi="Wingdings" w:hint="default"/>
      </w:rPr>
    </w:lvl>
    <w:lvl w:ilvl="3" w:tplc="89DC5C04" w:tentative="1">
      <w:start w:val="1"/>
      <w:numFmt w:val="bullet"/>
      <w:lvlText w:val=""/>
      <w:lvlJc w:val="left"/>
      <w:pPr>
        <w:ind w:left="2880" w:hanging="360"/>
      </w:pPr>
      <w:rPr>
        <w:rFonts w:ascii="Symbol" w:hAnsi="Symbol" w:hint="default"/>
      </w:rPr>
    </w:lvl>
    <w:lvl w:ilvl="4" w:tplc="8E12AD18" w:tentative="1">
      <w:start w:val="1"/>
      <w:numFmt w:val="bullet"/>
      <w:lvlText w:val="o"/>
      <w:lvlJc w:val="left"/>
      <w:pPr>
        <w:ind w:left="3600" w:hanging="360"/>
      </w:pPr>
      <w:rPr>
        <w:rFonts w:ascii="Courier New" w:hAnsi="Courier New" w:cs="Courier New" w:hint="default"/>
      </w:rPr>
    </w:lvl>
    <w:lvl w:ilvl="5" w:tplc="DFD6D794" w:tentative="1">
      <w:start w:val="1"/>
      <w:numFmt w:val="bullet"/>
      <w:lvlText w:val=""/>
      <w:lvlJc w:val="left"/>
      <w:pPr>
        <w:ind w:left="4320" w:hanging="360"/>
      </w:pPr>
      <w:rPr>
        <w:rFonts w:ascii="Wingdings" w:hAnsi="Wingdings" w:hint="default"/>
      </w:rPr>
    </w:lvl>
    <w:lvl w:ilvl="6" w:tplc="C6A2B174" w:tentative="1">
      <w:start w:val="1"/>
      <w:numFmt w:val="bullet"/>
      <w:lvlText w:val=""/>
      <w:lvlJc w:val="left"/>
      <w:pPr>
        <w:ind w:left="5040" w:hanging="360"/>
      </w:pPr>
      <w:rPr>
        <w:rFonts w:ascii="Symbol" w:hAnsi="Symbol" w:hint="default"/>
      </w:rPr>
    </w:lvl>
    <w:lvl w:ilvl="7" w:tplc="5AF00C0E" w:tentative="1">
      <w:start w:val="1"/>
      <w:numFmt w:val="bullet"/>
      <w:lvlText w:val="o"/>
      <w:lvlJc w:val="left"/>
      <w:pPr>
        <w:ind w:left="5760" w:hanging="360"/>
      </w:pPr>
      <w:rPr>
        <w:rFonts w:ascii="Courier New" w:hAnsi="Courier New" w:cs="Courier New" w:hint="default"/>
      </w:rPr>
    </w:lvl>
    <w:lvl w:ilvl="8" w:tplc="B3BA7A12"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F1B2F478">
      <w:start w:val="1"/>
      <w:numFmt w:val="bullet"/>
      <w:lvlText w:val=""/>
      <w:lvlJc w:val="left"/>
      <w:pPr>
        <w:ind w:left="1800" w:hanging="360"/>
      </w:pPr>
      <w:rPr>
        <w:rFonts w:ascii="Symbol" w:hAnsi="Symbol" w:hint="default"/>
      </w:rPr>
    </w:lvl>
    <w:lvl w:ilvl="1" w:tplc="6360C356" w:tentative="1">
      <w:start w:val="1"/>
      <w:numFmt w:val="bullet"/>
      <w:lvlText w:val="o"/>
      <w:lvlJc w:val="left"/>
      <w:pPr>
        <w:ind w:left="2520" w:hanging="360"/>
      </w:pPr>
      <w:rPr>
        <w:rFonts w:ascii="Courier New" w:hAnsi="Courier New" w:cs="Courier New" w:hint="default"/>
      </w:rPr>
    </w:lvl>
    <w:lvl w:ilvl="2" w:tplc="3F9004AE" w:tentative="1">
      <w:start w:val="1"/>
      <w:numFmt w:val="bullet"/>
      <w:lvlText w:val=""/>
      <w:lvlJc w:val="left"/>
      <w:pPr>
        <w:ind w:left="3240" w:hanging="360"/>
      </w:pPr>
      <w:rPr>
        <w:rFonts w:ascii="Wingdings" w:hAnsi="Wingdings" w:hint="default"/>
      </w:rPr>
    </w:lvl>
    <w:lvl w:ilvl="3" w:tplc="F1A4E224" w:tentative="1">
      <w:start w:val="1"/>
      <w:numFmt w:val="bullet"/>
      <w:lvlText w:val=""/>
      <w:lvlJc w:val="left"/>
      <w:pPr>
        <w:ind w:left="3960" w:hanging="360"/>
      </w:pPr>
      <w:rPr>
        <w:rFonts w:ascii="Symbol" w:hAnsi="Symbol" w:hint="default"/>
      </w:rPr>
    </w:lvl>
    <w:lvl w:ilvl="4" w:tplc="0C2C50B4" w:tentative="1">
      <w:start w:val="1"/>
      <w:numFmt w:val="bullet"/>
      <w:lvlText w:val="o"/>
      <w:lvlJc w:val="left"/>
      <w:pPr>
        <w:ind w:left="4680" w:hanging="360"/>
      </w:pPr>
      <w:rPr>
        <w:rFonts w:ascii="Courier New" w:hAnsi="Courier New" w:cs="Courier New" w:hint="default"/>
      </w:rPr>
    </w:lvl>
    <w:lvl w:ilvl="5" w:tplc="68A6455E" w:tentative="1">
      <w:start w:val="1"/>
      <w:numFmt w:val="bullet"/>
      <w:lvlText w:val=""/>
      <w:lvlJc w:val="left"/>
      <w:pPr>
        <w:ind w:left="5400" w:hanging="360"/>
      </w:pPr>
      <w:rPr>
        <w:rFonts w:ascii="Wingdings" w:hAnsi="Wingdings" w:hint="default"/>
      </w:rPr>
    </w:lvl>
    <w:lvl w:ilvl="6" w:tplc="8D74020C" w:tentative="1">
      <w:start w:val="1"/>
      <w:numFmt w:val="bullet"/>
      <w:lvlText w:val=""/>
      <w:lvlJc w:val="left"/>
      <w:pPr>
        <w:ind w:left="6120" w:hanging="360"/>
      </w:pPr>
      <w:rPr>
        <w:rFonts w:ascii="Symbol" w:hAnsi="Symbol" w:hint="default"/>
      </w:rPr>
    </w:lvl>
    <w:lvl w:ilvl="7" w:tplc="F5E6370E" w:tentative="1">
      <w:start w:val="1"/>
      <w:numFmt w:val="bullet"/>
      <w:lvlText w:val="o"/>
      <w:lvlJc w:val="left"/>
      <w:pPr>
        <w:ind w:left="6840" w:hanging="360"/>
      </w:pPr>
      <w:rPr>
        <w:rFonts w:ascii="Courier New" w:hAnsi="Courier New" w:cs="Courier New" w:hint="default"/>
      </w:rPr>
    </w:lvl>
    <w:lvl w:ilvl="8" w:tplc="6904593C"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39525CD4">
      <w:numFmt w:val="bullet"/>
      <w:lvlText w:val=""/>
      <w:lvlJc w:val="left"/>
      <w:pPr>
        <w:ind w:left="420" w:hanging="360"/>
      </w:pPr>
      <w:rPr>
        <w:rFonts w:ascii="Symbol" w:eastAsia="Times New Roman" w:hAnsi="Symbol" w:cs="Times New Roman" w:hint="default"/>
      </w:rPr>
    </w:lvl>
    <w:lvl w:ilvl="1" w:tplc="CEF66544" w:tentative="1">
      <w:start w:val="1"/>
      <w:numFmt w:val="bullet"/>
      <w:lvlText w:val="o"/>
      <w:lvlJc w:val="left"/>
      <w:pPr>
        <w:tabs>
          <w:tab w:val="num" w:pos="1440"/>
        </w:tabs>
        <w:ind w:left="1440" w:hanging="360"/>
      </w:pPr>
      <w:rPr>
        <w:rFonts w:ascii="Courier New" w:hAnsi="Courier New" w:cs="Courier New" w:hint="default"/>
      </w:rPr>
    </w:lvl>
    <w:lvl w:ilvl="2" w:tplc="498855D8" w:tentative="1">
      <w:start w:val="1"/>
      <w:numFmt w:val="bullet"/>
      <w:lvlText w:val=""/>
      <w:lvlJc w:val="left"/>
      <w:pPr>
        <w:tabs>
          <w:tab w:val="num" w:pos="2160"/>
        </w:tabs>
        <w:ind w:left="2160" w:hanging="360"/>
      </w:pPr>
      <w:rPr>
        <w:rFonts w:ascii="Wingdings" w:hAnsi="Wingdings" w:hint="default"/>
      </w:rPr>
    </w:lvl>
    <w:lvl w:ilvl="3" w:tplc="B7C21D48" w:tentative="1">
      <w:start w:val="1"/>
      <w:numFmt w:val="bullet"/>
      <w:lvlText w:val=""/>
      <w:lvlJc w:val="left"/>
      <w:pPr>
        <w:tabs>
          <w:tab w:val="num" w:pos="2880"/>
        </w:tabs>
        <w:ind w:left="2880" w:hanging="360"/>
      </w:pPr>
      <w:rPr>
        <w:rFonts w:ascii="Symbol" w:hAnsi="Symbol" w:hint="default"/>
      </w:rPr>
    </w:lvl>
    <w:lvl w:ilvl="4" w:tplc="9990BEC0" w:tentative="1">
      <w:start w:val="1"/>
      <w:numFmt w:val="bullet"/>
      <w:lvlText w:val="o"/>
      <w:lvlJc w:val="left"/>
      <w:pPr>
        <w:tabs>
          <w:tab w:val="num" w:pos="3600"/>
        </w:tabs>
        <w:ind w:left="3600" w:hanging="360"/>
      </w:pPr>
      <w:rPr>
        <w:rFonts w:ascii="Courier New" w:hAnsi="Courier New" w:cs="Courier New" w:hint="default"/>
      </w:rPr>
    </w:lvl>
    <w:lvl w:ilvl="5" w:tplc="66CE547E" w:tentative="1">
      <w:start w:val="1"/>
      <w:numFmt w:val="bullet"/>
      <w:lvlText w:val=""/>
      <w:lvlJc w:val="left"/>
      <w:pPr>
        <w:tabs>
          <w:tab w:val="num" w:pos="4320"/>
        </w:tabs>
        <w:ind w:left="4320" w:hanging="360"/>
      </w:pPr>
      <w:rPr>
        <w:rFonts w:ascii="Wingdings" w:hAnsi="Wingdings" w:hint="default"/>
      </w:rPr>
    </w:lvl>
    <w:lvl w:ilvl="6" w:tplc="E3B8AA10" w:tentative="1">
      <w:start w:val="1"/>
      <w:numFmt w:val="bullet"/>
      <w:lvlText w:val=""/>
      <w:lvlJc w:val="left"/>
      <w:pPr>
        <w:tabs>
          <w:tab w:val="num" w:pos="5040"/>
        </w:tabs>
        <w:ind w:left="5040" w:hanging="360"/>
      </w:pPr>
      <w:rPr>
        <w:rFonts w:ascii="Symbol" w:hAnsi="Symbol" w:hint="default"/>
      </w:rPr>
    </w:lvl>
    <w:lvl w:ilvl="7" w:tplc="CEE483D6" w:tentative="1">
      <w:start w:val="1"/>
      <w:numFmt w:val="bullet"/>
      <w:lvlText w:val="o"/>
      <w:lvlJc w:val="left"/>
      <w:pPr>
        <w:tabs>
          <w:tab w:val="num" w:pos="5760"/>
        </w:tabs>
        <w:ind w:left="5760" w:hanging="360"/>
      </w:pPr>
      <w:rPr>
        <w:rFonts w:ascii="Courier New" w:hAnsi="Courier New" w:cs="Courier New" w:hint="default"/>
      </w:rPr>
    </w:lvl>
    <w:lvl w:ilvl="8" w:tplc="3FDADF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11AAE70E">
      <w:numFmt w:val="bullet"/>
      <w:lvlText w:val="–"/>
      <w:lvlJc w:val="left"/>
      <w:pPr>
        <w:ind w:left="720" w:hanging="360"/>
      </w:pPr>
      <w:rPr>
        <w:rFonts w:ascii="Times New Roman" w:eastAsia="Times New Roman" w:hAnsi="Times New Roman" w:cs="Times New Roman" w:hint="default"/>
      </w:rPr>
    </w:lvl>
    <w:lvl w:ilvl="1" w:tplc="8592C780" w:tentative="1">
      <w:start w:val="1"/>
      <w:numFmt w:val="bullet"/>
      <w:lvlText w:val="o"/>
      <w:lvlJc w:val="left"/>
      <w:pPr>
        <w:ind w:left="1440" w:hanging="360"/>
      </w:pPr>
      <w:rPr>
        <w:rFonts w:ascii="Courier New" w:hAnsi="Courier New" w:cs="Courier New" w:hint="default"/>
      </w:rPr>
    </w:lvl>
    <w:lvl w:ilvl="2" w:tplc="3314EEB6" w:tentative="1">
      <w:start w:val="1"/>
      <w:numFmt w:val="bullet"/>
      <w:lvlText w:val=""/>
      <w:lvlJc w:val="left"/>
      <w:pPr>
        <w:ind w:left="2160" w:hanging="360"/>
      </w:pPr>
      <w:rPr>
        <w:rFonts w:ascii="Wingdings" w:hAnsi="Wingdings" w:hint="default"/>
      </w:rPr>
    </w:lvl>
    <w:lvl w:ilvl="3" w:tplc="7E9CC778" w:tentative="1">
      <w:start w:val="1"/>
      <w:numFmt w:val="bullet"/>
      <w:lvlText w:val=""/>
      <w:lvlJc w:val="left"/>
      <w:pPr>
        <w:ind w:left="2880" w:hanging="360"/>
      </w:pPr>
      <w:rPr>
        <w:rFonts w:ascii="Symbol" w:hAnsi="Symbol" w:hint="default"/>
      </w:rPr>
    </w:lvl>
    <w:lvl w:ilvl="4" w:tplc="C5B65DF0" w:tentative="1">
      <w:start w:val="1"/>
      <w:numFmt w:val="bullet"/>
      <w:lvlText w:val="o"/>
      <w:lvlJc w:val="left"/>
      <w:pPr>
        <w:ind w:left="3600" w:hanging="360"/>
      </w:pPr>
      <w:rPr>
        <w:rFonts w:ascii="Courier New" w:hAnsi="Courier New" w:cs="Courier New" w:hint="default"/>
      </w:rPr>
    </w:lvl>
    <w:lvl w:ilvl="5" w:tplc="57B2D8E6" w:tentative="1">
      <w:start w:val="1"/>
      <w:numFmt w:val="bullet"/>
      <w:lvlText w:val=""/>
      <w:lvlJc w:val="left"/>
      <w:pPr>
        <w:ind w:left="4320" w:hanging="360"/>
      </w:pPr>
      <w:rPr>
        <w:rFonts w:ascii="Wingdings" w:hAnsi="Wingdings" w:hint="default"/>
      </w:rPr>
    </w:lvl>
    <w:lvl w:ilvl="6" w:tplc="83DE7244" w:tentative="1">
      <w:start w:val="1"/>
      <w:numFmt w:val="bullet"/>
      <w:lvlText w:val=""/>
      <w:lvlJc w:val="left"/>
      <w:pPr>
        <w:ind w:left="5040" w:hanging="360"/>
      </w:pPr>
      <w:rPr>
        <w:rFonts w:ascii="Symbol" w:hAnsi="Symbol" w:hint="default"/>
      </w:rPr>
    </w:lvl>
    <w:lvl w:ilvl="7" w:tplc="0D6402BC" w:tentative="1">
      <w:start w:val="1"/>
      <w:numFmt w:val="bullet"/>
      <w:lvlText w:val="o"/>
      <w:lvlJc w:val="left"/>
      <w:pPr>
        <w:ind w:left="5760" w:hanging="360"/>
      </w:pPr>
      <w:rPr>
        <w:rFonts w:ascii="Courier New" w:hAnsi="Courier New" w:cs="Courier New" w:hint="default"/>
      </w:rPr>
    </w:lvl>
    <w:lvl w:ilvl="8" w:tplc="4BF43788"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E72F060">
      <w:numFmt w:val="bullet"/>
      <w:lvlText w:val=""/>
      <w:lvlJc w:val="left"/>
      <w:pPr>
        <w:ind w:left="420" w:hanging="360"/>
      </w:pPr>
      <w:rPr>
        <w:rFonts w:ascii="Symbol" w:eastAsia="Times New Roman" w:hAnsi="Symbol" w:cs="Times New Roman" w:hint="default"/>
      </w:rPr>
    </w:lvl>
    <w:lvl w:ilvl="1" w:tplc="4FFC0A0C" w:tentative="1">
      <w:start w:val="1"/>
      <w:numFmt w:val="bullet"/>
      <w:lvlText w:val="o"/>
      <w:lvlJc w:val="left"/>
      <w:pPr>
        <w:tabs>
          <w:tab w:val="num" w:pos="1440"/>
        </w:tabs>
        <w:ind w:left="1440" w:hanging="360"/>
      </w:pPr>
      <w:rPr>
        <w:rFonts w:ascii="Courier New" w:hAnsi="Courier New" w:cs="Courier New" w:hint="default"/>
      </w:rPr>
    </w:lvl>
    <w:lvl w:ilvl="2" w:tplc="B4BE8416" w:tentative="1">
      <w:start w:val="1"/>
      <w:numFmt w:val="bullet"/>
      <w:lvlText w:val=""/>
      <w:lvlJc w:val="left"/>
      <w:pPr>
        <w:tabs>
          <w:tab w:val="num" w:pos="2160"/>
        </w:tabs>
        <w:ind w:left="2160" w:hanging="360"/>
      </w:pPr>
      <w:rPr>
        <w:rFonts w:ascii="Wingdings" w:hAnsi="Wingdings" w:hint="default"/>
      </w:rPr>
    </w:lvl>
    <w:lvl w:ilvl="3" w:tplc="D3DE9B80" w:tentative="1">
      <w:start w:val="1"/>
      <w:numFmt w:val="bullet"/>
      <w:lvlText w:val=""/>
      <w:lvlJc w:val="left"/>
      <w:pPr>
        <w:tabs>
          <w:tab w:val="num" w:pos="2880"/>
        </w:tabs>
        <w:ind w:left="2880" w:hanging="360"/>
      </w:pPr>
      <w:rPr>
        <w:rFonts w:ascii="Symbol" w:hAnsi="Symbol" w:hint="default"/>
      </w:rPr>
    </w:lvl>
    <w:lvl w:ilvl="4" w:tplc="E3B66F76" w:tentative="1">
      <w:start w:val="1"/>
      <w:numFmt w:val="bullet"/>
      <w:lvlText w:val="o"/>
      <w:lvlJc w:val="left"/>
      <w:pPr>
        <w:tabs>
          <w:tab w:val="num" w:pos="3600"/>
        </w:tabs>
        <w:ind w:left="3600" w:hanging="360"/>
      </w:pPr>
      <w:rPr>
        <w:rFonts w:ascii="Courier New" w:hAnsi="Courier New" w:cs="Courier New" w:hint="default"/>
      </w:rPr>
    </w:lvl>
    <w:lvl w:ilvl="5" w:tplc="72905DF4" w:tentative="1">
      <w:start w:val="1"/>
      <w:numFmt w:val="bullet"/>
      <w:lvlText w:val=""/>
      <w:lvlJc w:val="left"/>
      <w:pPr>
        <w:tabs>
          <w:tab w:val="num" w:pos="4320"/>
        </w:tabs>
        <w:ind w:left="4320" w:hanging="360"/>
      </w:pPr>
      <w:rPr>
        <w:rFonts w:ascii="Wingdings" w:hAnsi="Wingdings" w:hint="default"/>
      </w:rPr>
    </w:lvl>
    <w:lvl w:ilvl="6" w:tplc="D9A66E72" w:tentative="1">
      <w:start w:val="1"/>
      <w:numFmt w:val="bullet"/>
      <w:lvlText w:val=""/>
      <w:lvlJc w:val="left"/>
      <w:pPr>
        <w:tabs>
          <w:tab w:val="num" w:pos="5040"/>
        </w:tabs>
        <w:ind w:left="5040" w:hanging="360"/>
      </w:pPr>
      <w:rPr>
        <w:rFonts w:ascii="Symbol" w:hAnsi="Symbol" w:hint="default"/>
      </w:rPr>
    </w:lvl>
    <w:lvl w:ilvl="7" w:tplc="7B002474" w:tentative="1">
      <w:start w:val="1"/>
      <w:numFmt w:val="bullet"/>
      <w:lvlText w:val="o"/>
      <w:lvlJc w:val="left"/>
      <w:pPr>
        <w:tabs>
          <w:tab w:val="num" w:pos="5760"/>
        </w:tabs>
        <w:ind w:left="5760" w:hanging="360"/>
      </w:pPr>
      <w:rPr>
        <w:rFonts w:ascii="Courier New" w:hAnsi="Courier New" w:cs="Courier New" w:hint="default"/>
      </w:rPr>
    </w:lvl>
    <w:lvl w:ilvl="8" w:tplc="EAB243A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06E63"/>
    <w:rsid w:val="00007B4B"/>
    <w:rsid w:val="00010371"/>
    <w:rsid w:val="000264BB"/>
    <w:rsid w:val="00033FC1"/>
    <w:rsid w:val="00034159"/>
    <w:rsid w:val="00037746"/>
    <w:rsid w:val="00042999"/>
    <w:rsid w:val="00042DC2"/>
    <w:rsid w:val="0006440F"/>
    <w:rsid w:val="000852A1"/>
    <w:rsid w:val="00087F17"/>
    <w:rsid w:val="00096E79"/>
    <w:rsid w:val="000972E6"/>
    <w:rsid w:val="000A0D71"/>
    <w:rsid w:val="000C2C4B"/>
    <w:rsid w:val="000C4C48"/>
    <w:rsid w:val="000E01AB"/>
    <w:rsid w:val="000E2683"/>
    <w:rsid w:val="000E49F0"/>
    <w:rsid w:val="000E6126"/>
    <w:rsid w:val="00100406"/>
    <w:rsid w:val="00107A8A"/>
    <w:rsid w:val="00110A5E"/>
    <w:rsid w:val="00111788"/>
    <w:rsid w:val="001166A0"/>
    <w:rsid w:val="00116A27"/>
    <w:rsid w:val="00132B9A"/>
    <w:rsid w:val="001368AE"/>
    <w:rsid w:val="00144CCD"/>
    <w:rsid w:val="0014739A"/>
    <w:rsid w:val="0015490C"/>
    <w:rsid w:val="001573E2"/>
    <w:rsid w:val="0016278D"/>
    <w:rsid w:val="0016572A"/>
    <w:rsid w:val="001937AD"/>
    <w:rsid w:val="001A2CB2"/>
    <w:rsid w:val="001A5CCF"/>
    <w:rsid w:val="001B6AEC"/>
    <w:rsid w:val="001E57B1"/>
    <w:rsid w:val="001E6F4C"/>
    <w:rsid w:val="001F16AA"/>
    <w:rsid w:val="00203355"/>
    <w:rsid w:val="00203499"/>
    <w:rsid w:val="00211005"/>
    <w:rsid w:val="00217C61"/>
    <w:rsid w:val="00217D41"/>
    <w:rsid w:val="00222CA6"/>
    <w:rsid w:val="00232642"/>
    <w:rsid w:val="00237697"/>
    <w:rsid w:val="00250EDB"/>
    <w:rsid w:val="002531E9"/>
    <w:rsid w:val="00256E10"/>
    <w:rsid w:val="00260413"/>
    <w:rsid w:val="00260EBC"/>
    <w:rsid w:val="00264710"/>
    <w:rsid w:val="00267567"/>
    <w:rsid w:val="00270B0A"/>
    <w:rsid w:val="00271550"/>
    <w:rsid w:val="002752C5"/>
    <w:rsid w:val="00281710"/>
    <w:rsid w:val="00281FBE"/>
    <w:rsid w:val="00290D2E"/>
    <w:rsid w:val="00292715"/>
    <w:rsid w:val="00297CEA"/>
    <w:rsid w:val="002A591C"/>
    <w:rsid w:val="002B3270"/>
    <w:rsid w:val="002C10E1"/>
    <w:rsid w:val="002C15EB"/>
    <w:rsid w:val="002C1660"/>
    <w:rsid w:val="002C35A2"/>
    <w:rsid w:val="002C5345"/>
    <w:rsid w:val="002C76D7"/>
    <w:rsid w:val="002D351D"/>
    <w:rsid w:val="002D56B7"/>
    <w:rsid w:val="002D6C61"/>
    <w:rsid w:val="002E0BAD"/>
    <w:rsid w:val="002E7DA4"/>
    <w:rsid w:val="002F4A14"/>
    <w:rsid w:val="00302607"/>
    <w:rsid w:val="0030302E"/>
    <w:rsid w:val="003043BF"/>
    <w:rsid w:val="00320073"/>
    <w:rsid w:val="003262DF"/>
    <w:rsid w:val="003356B2"/>
    <w:rsid w:val="003533AC"/>
    <w:rsid w:val="0036288F"/>
    <w:rsid w:val="00365B10"/>
    <w:rsid w:val="003662F1"/>
    <w:rsid w:val="00367BA7"/>
    <w:rsid w:val="003744EE"/>
    <w:rsid w:val="003761C0"/>
    <w:rsid w:val="003812B2"/>
    <w:rsid w:val="00383CDB"/>
    <w:rsid w:val="00383CED"/>
    <w:rsid w:val="00384F08"/>
    <w:rsid w:val="003879F9"/>
    <w:rsid w:val="00395510"/>
    <w:rsid w:val="003A035E"/>
    <w:rsid w:val="003B0285"/>
    <w:rsid w:val="003C0665"/>
    <w:rsid w:val="003E13CF"/>
    <w:rsid w:val="003F5344"/>
    <w:rsid w:val="003F7EDC"/>
    <w:rsid w:val="00404548"/>
    <w:rsid w:val="0041162E"/>
    <w:rsid w:val="00426AEC"/>
    <w:rsid w:val="0042786D"/>
    <w:rsid w:val="00433C62"/>
    <w:rsid w:val="00434D01"/>
    <w:rsid w:val="004428CA"/>
    <w:rsid w:val="00444B47"/>
    <w:rsid w:val="004472A6"/>
    <w:rsid w:val="004647F6"/>
    <w:rsid w:val="00472EF5"/>
    <w:rsid w:val="00481BE2"/>
    <w:rsid w:val="0048687C"/>
    <w:rsid w:val="004A31B4"/>
    <w:rsid w:val="004B02E4"/>
    <w:rsid w:val="004B4A47"/>
    <w:rsid w:val="004C1922"/>
    <w:rsid w:val="004C462F"/>
    <w:rsid w:val="004D49E9"/>
    <w:rsid w:val="004F3D1A"/>
    <w:rsid w:val="00505E57"/>
    <w:rsid w:val="00506162"/>
    <w:rsid w:val="005071DA"/>
    <w:rsid w:val="00510793"/>
    <w:rsid w:val="00512C02"/>
    <w:rsid w:val="005147D7"/>
    <w:rsid w:val="00521354"/>
    <w:rsid w:val="00522944"/>
    <w:rsid w:val="00523D82"/>
    <w:rsid w:val="00526FCF"/>
    <w:rsid w:val="00541A00"/>
    <w:rsid w:val="005444B2"/>
    <w:rsid w:val="00552F8B"/>
    <w:rsid w:val="00561FE7"/>
    <w:rsid w:val="00575348"/>
    <w:rsid w:val="00575C17"/>
    <w:rsid w:val="005779DE"/>
    <w:rsid w:val="005869C5"/>
    <w:rsid w:val="005A2B16"/>
    <w:rsid w:val="005A3C81"/>
    <w:rsid w:val="005A5680"/>
    <w:rsid w:val="005A6639"/>
    <w:rsid w:val="005A6914"/>
    <w:rsid w:val="005B243C"/>
    <w:rsid w:val="005B3FFE"/>
    <w:rsid w:val="005C1519"/>
    <w:rsid w:val="005C1C4E"/>
    <w:rsid w:val="005C4A16"/>
    <w:rsid w:val="005C4B12"/>
    <w:rsid w:val="005D68C6"/>
    <w:rsid w:val="005D7EE3"/>
    <w:rsid w:val="005E50DE"/>
    <w:rsid w:val="005F7097"/>
    <w:rsid w:val="0060364A"/>
    <w:rsid w:val="00605F12"/>
    <w:rsid w:val="0061650D"/>
    <w:rsid w:val="00617843"/>
    <w:rsid w:val="006205C0"/>
    <w:rsid w:val="00620F34"/>
    <w:rsid w:val="00624C1B"/>
    <w:rsid w:val="00625471"/>
    <w:rsid w:val="00627853"/>
    <w:rsid w:val="00634D0C"/>
    <w:rsid w:val="00652BCE"/>
    <w:rsid w:val="00652E29"/>
    <w:rsid w:val="00653617"/>
    <w:rsid w:val="006661C8"/>
    <w:rsid w:val="006703A5"/>
    <w:rsid w:val="0067136B"/>
    <w:rsid w:val="00691208"/>
    <w:rsid w:val="00693014"/>
    <w:rsid w:val="006A23C4"/>
    <w:rsid w:val="006A702E"/>
    <w:rsid w:val="006B156A"/>
    <w:rsid w:val="006B705E"/>
    <w:rsid w:val="006B7A90"/>
    <w:rsid w:val="006C577B"/>
    <w:rsid w:val="006C5F38"/>
    <w:rsid w:val="006C6233"/>
    <w:rsid w:val="006C6558"/>
    <w:rsid w:val="006D7D5A"/>
    <w:rsid w:val="006E4305"/>
    <w:rsid w:val="006F42C9"/>
    <w:rsid w:val="006F5763"/>
    <w:rsid w:val="0070488A"/>
    <w:rsid w:val="00704BAB"/>
    <w:rsid w:val="007104D1"/>
    <w:rsid w:val="007135A6"/>
    <w:rsid w:val="00727D0D"/>
    <w:rsid w:val="007328FB"/>
    <w:rsid w:val="00732F32"/>
    <w:rsid w:val="00733717"/>
    <w:rsid w:val="00733A73"/>
    <w:rsid w:val="0073477B"/>
    <w:rsid w:val="00736B6C"/>
    <w:rsid w:val="00744FB9"/>
    <w:rsid w:val="00745CFF"/>
    <w:rsid w:val="00746FF2"/>
    <w:rsid w:val="007542BF"/>
    <w:rsid w:val="00761133"/>
    <w:rsid w:val="00764E84"/>
    <w:rsid w:val="00764F92"/>
    <w:rsid w:val="007762F8"/>
    <w:rsid w:val="00781A95"/>
    <w:rsid w:val="007822BD"/>
    <w:rsid w:val="00783520"/>
    <w:rsid w:val="007A02D3"/>
    <w:rsid w:val="007A18B1"/>
    <w:rsid w:val="007B6C32"/>
    <w:rsid w:val="007C055A"/>
    <w:rsid w:val="007C1693"/>
    <w:rsid w:val="007D0E84"/>
    <w:rsid w:val="007D681B"/>
    <w:rsid w:val="007E1A7B"/>
    <w:rsid w:val="007E1D85"/>
    <w:rsid w:val="007E5B48"/>
    <w:rsid w:val="007E702A"/>
    <w:rsid w:val="007F4535"/>
    <w:rsid w:val="008013E1"/>
    <w:rsid w:val="008015F3"/>
    <w:rsid w:val="0080707E"/>
    <w:rsid w:val="00811030"/>
    <w:rsid w:val="0081154A"/>
    <w:rsid w:val="00820B36"/>
    <w:rsid w:val="008250FA"/>
    <w:rsid w:val="00827BB2"/>
    <w:rsid w:val="008329DA"/>
    <w:rsid w:val="008330E7"/>
    <w:rsid w:val="008353A4"/>
    <w:rsid w:val="008369DF"/>
    <w:rsid w:val="008372C6"/>
    <w:rsid w:val="00844CE8"/>
    <w:rsid w:val="00847154"/>
    <w:rsid w:val="00852172"/>
    <w:rsid w:val="0086657B"/>
    <w:rsid w:val="00872C10"/>
    <w:rsid w:val="00874CBE"/>
    <w:rsid w:val="008832E5"/>
    <w:rsid w:val="00884083"/>
    <w:rsid w:val="00891711"/>
    <w:rsid w:val="00892CB3"/>
    <w:rsid w:val="00893809"/>
    <w:rsid w:val="00897669"/>
    <w:rsid w:val="008A0F65"/>
    <w:rsid w:val="008C0181"/>
    <w:rsid w:val="008D4451"/>
    <w:rsid w:val="008D62B7"/>
    <w:rsid w:val="008E6895"/>
    <w:rsid w:val="008E74CF"/>
    <w:rsid w:val="008E78C8"/>
    <w:rsid w:val="00900B3C"/>
    <w:rsid w:val="00904FB5"/>
    <w:rsid w:val="0091136C"/>
    <w:rsid w:val="009157ED"/>
    <w:rsid w:val="00917436"/>
    <w:rsid w:val="00930D7D"/>
    <w:rsid w:val="0095047E"/>
    <w:rsid w:val="00956101"/>
    <w:rsid w:val="00962CD6"/>
    <w:rsid w:val="009820D2"/>
    <w:rsid w:val="009835C2"/>
    <w:rsid w:val="00993A60"/>
    <w:rsid w:val="00994CDD"/>
    <w:rsid w:val="00996F90"/>
    <w:rsid w:val="009A3206"/>
    <w:rsid w:val="009B014E"/>
    <w:rsid w:val="009B62A7"/>
    <w:rsid w:val="009D71D5"/>
    <w:rsid w:val="009E1D03"/>
    <w:rsid w:val="009E2887"/>
    <w:rsid w:val="009E5CB9"/>
    <w:rsid w:val="009F31F2"/>
    <w:rsid w:val="009F45A5"/>
    <w:rsid w:val="00A00860"/>
    <w:rsid w:val="00A01C2E"/>
    <w:rsid w:val="00A02BB2"/>
    <w:rsid w:val="00A04052"/>
    <w:rsid w:val="00A12563"/>
    <w:rsid w:val="00A2324B"/>
    <w:rsid w:val="00A3603E"/>
    <w:rsid w:val="00A50050"/>
    <w:rsid w:val="00A8185B"/>
    <w:rsid w:val="00A868BE"/>
    <w:rsid w:val="00AA1A49"/>
    <w:rsid w:val="00AA5866"/>
    <w:rsid w:val="00AA5E2F"/>
    <w:rsid w:val="00AA7317"/>
    <w:rsid w:val="00AB55A9"/>
    <w:rsid w:val="00AB7686"/>
    <w:rsid w:val="00AC2C0B"/>
    <w:rsid w:val="00AC4905"/>
    <w:rsid w:val="00AE2611"/>
    <w:rsid w:val="00AE72B2"/>
    <w:rsid w:val="00AE7922"/>
    <w:rsid w:val="00B01011"/>
    <w:rsid w:val="00B11878"/>
    <w:rsid w:val="00B32D07"/>
    <w:rsid w:val="00B34AB5"/>
    <w:rsid w:val="00B46F30"/>
    <w:rsid w:val="00B608C1"/>
    <w:rsid w:val="00B60D3D"/>
    <w:rsid w:val="00B61D95"/>
    <w:rsid w:val="00B67572"/>
    <w:rsid w:val="00B83789"/>
    <w:rsid w:val="00B90166"/>
    <w:rsid w:val="00B9187F"/>
    <w:rsid w:val="00BB1157"/>
    <w:rsid w:val="00BB3050"/>
    <w:rsid w:val="00BB7831"/>
    <w:rsid w:val="00BC2C03"/>
    <w:rsid w:val="00BC31BC"/>
    <w:rsid w:val="00BC33D6"/>
    <w:rsid w:val="00BC6167"/>
    <w:rsid w:val="00BE4435"/>
    <w:rsid w:val="00BE6B71"/>
    <w:rsid w:val="00C07BB3"/>
    <w:rsid w:val="00C2000E"/>
    <w:rsid w:val="00C23E0E"/>
    <w:rsid w:val="00C379C9"/>
    <w:rsid w:val="00C422B8"/>
    <w:rsid w:val="00C5229A"/>
    <w:rsid w:val="00C566D6"/>
    <w:rsid w:val="00C66708"/>
    <w:rsid w:val="00C76D7B"/>
    <w:rsid w:val="00C839ED"/>
    <w:rsid w:val="00C84299"/>
    <w:rsid w:val="00C92F14"/>
    <w:rsid w:val="00C9308C"/>
    <w:rsid w:val="00C97365"/>
    <w:rsid w:val="00CC08BA"/>
    <w:rsid w:val="00CC330A"/>
    <w:rsid w:val="00CC5727"/>
    <w:rsid w:val="00CC6C3A"/>
    <w:rsid w:val="00CC7DBD"/>
    <w:rsid w:val="00CE38C0"/>
    <w:rsid w:val="00CF3849"/>
    <w:rsid w:val="00D0233C"/>
    <w:rsid w:val="00D066FC"/>
    <w:rsid w:val="00D11177"/>
    <w:rsid w:val="00D11462"/>
    <w:rsid w:val="00D14D61"/>
    <w:rsid w:val="00D22A47"/>
    <w:rsid w:val="00D275FC"/>
    <w:rsid w:val="00D3576E"/>
    <w:rsid w:val="00D43297"/>
    <w:rsid w:val="00D454D9"/>
    <w:rsid w:val="00D466C0"/>
    <w:rsid w:val="00D46B0B"/>
    <w:rsid w:val="00D55ED8"/>
    <w:rsid w:val="00D70DB6"/>
    <w:rsid w:val="00D75330"/>
    <w:rsid w:val="00D76048"/>
    <w:rsid w:val="00D8123B"/>
    <w:rsid w:val="00D9387C"/>
    <w:rsid w:val="00D93C80"/>
    <w:rsid w:val="00D96A8F"/>
    <w:rsid w:val="00DB406A"/>
    <w:rsid w:val="00DD3037"/>
    <w:rsid w:val="00DD7F90"/>
    <w:rsid w:val="00DF11A7"/>
    <w:rsid w:val="00DF5CAC"/>
    <w:rsid w:val="00E03E8D"/>
    <w:rsid w:val="00E071A2"/>
    <w:rsid w:val="00E13430"/>
    <w:rsid w:val="00E24D8C"/>
    <w:rsid w:val="00E271CB"/>
    <w:rsid w:val="00E31F51"/>
    <w:rsid w:val="00E34FE3"/>
    <w:rsid w:val="00E35A76"/>
    <w:rsid w:val="00E55D6C"/>
    <w:rsid w:val="00E57396"/>
    <w:rsid w:val="00E806BC"/>
    <w:rsid w:val="00E81A1B"/>
    <w:rsid w:val="00E81A86"/>
    <w:rsid w:val="00E82837"/>
    <w:rsid w:val="00E82A54"/>
    <w:rsid w:val="00E8607B"/>
    <w:rsid w:val="00E868D5"/>
    <w:rsid w:val="00E87E40"/>
    <w:rsid w:val="00E91073"/>
    <w:rsid w:val="00E93583"/>
    <w:rsid w:val="00EA2F86"/>
    <w:rsid w:val="00EA6D39"/>
    <w:rsid w:val="00EB1D97"/>
    <w:rsid w:val="00ED03F6"/>
    <w:rsid w:val="00ED66A8"/>
    <w:rsid w:val="00ED7EFF"/>
    <w:rsid w:val="00EF4C53"/>
    <w:rsid w:val="00F006F1"/>
    <w:rsid w:val="00F07B7B"/>
    <w:rsid w:val="00F16B90"/>
    <w:rsid w:val="00F23B95"/>
    <w:rsid w:val="00F263D7"/>
    <w:rsid w:val="00F340D0"/>
    <w:rsid w:val="00F40388"/>
    <w:rsid w:val="00F56C42"/>
    <w:rsid w:val="00F63389"/>
    <w:rsid w:val="00F7374A"/>
    <w:rsid w:val="00F75CBB"/>
    <w:rsid w:val="00F8747E"/>
    <w:rsid w:val="00F91977"/>
    <w:rsid w:val="00F97B57"/>
    <w:rsid w:val="00FA4F7C"/>
    <w:rsid w:val="00FA7347"/>
    <w:rsid w:val="00FB0456"/>
    <w:rsid w:val="00FB47F4"/>
    <w:rsid w:val="00FC16D8"/>
    <w:rsid w:val="00FC42C0"/>
    <w:rsid w:val="00FC6FC8"/>
    <w:rsid w:val="00FD2B12"/>
    <w:rsid w:val="00FD2B9F"/>
    <w:rsid w:val="00FE566D"/>
    <w:rsid w:val="00FF0B06"/>
    <w:rsid w:val="00FF0FCD"/>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C349"/>
  <w15:docId w15:val="{B894AB62-0B2A-4A2A-BA6D-B3EE078A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AA1A49"/>
    <w:rPr>
      <w:color w:val="605E5C"/>
      <w:shd w:val="clear" w:color="auto" w:fill="E1DFDD"/>
    </w:rPr>
  </w:style>
  <w:style w:type="character" w:customStyle="1" w:styleId="23">
    <w:name w:val="Неразрешенное упоминание2"/>
    <w:basedOn w:val="a0"/>
    <w:uiPriority w:val="99"/>
    <w:semiHidden/>
    <w:unhideWhenUsed/>
    <w:rsid w:val="00481BE2"/>
    <w:rPr>
      <w:color w:val="605E5C"/>
      <w:shd w:val="clear" w:color="auto" w:fill="E1DFDD"/>
    </w:rPr>
  </w:style>
  <w:style w:type="character" w:customStyle="1" w:styleId="33">
    <w:name w:val="Неразрешенное упоминание3"/>
    <w:basedOn w:val="a0"/>
    <w:uiPriority w:val="99"/>
    <w:semiHidden/>
    <w:unhideWhenUsed/>
    <w:rsid w:val="00811030"/>
    <w:rPr>
      <w:color w:val="605E5C"/>
      <w:shd w:val="clear" w:color="auto" w:fill="E1DFDD"/>
    </w:rPr>
  </w:style>
  <w:style w:type="paragraph" w:customStyle="1" w:styleId="Style5">
    <w:name w:val="Style5"/>
    <w:basedOn w:val="a"/>
    <w:uiPriority w:val="99"/>
    <w:rsid w:val="00874CBE"/>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UnresolvedMention1">
    <w:name w:val="Unresolved Mention1"/>
    <w:basedOn w:val="a0"/>
    <w:uiPriority w:val="99"/>
    <w:semiHidden/>
    <w:unhideWhenUsed/>
    <w:rsid w:val="00C2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rmacovigilance@rogerspharma.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gland@gland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5C16-4A33-4676-86D5-FB052A2A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6190</Words>
  <Characters>35283</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2025-09-18T04:55:00Z</dcterms:created>
  <dcterms:modified xsi:type="dcterms:W3CDTF">2025-10-21T10:21:00Z</dcterms:modified>
</cp:coreProperties>
</file>